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5" w:rsidRDefault="003105D5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ind w:firstLine="6840"/>
        <w:rPr>
          <w:rFonts w:ascii="Times New Roman" w:hAnsi="Times New Roman"/>
          <w:i/>
          <w:sz w:val="28"/>
          <w:szCs w:val="28"/>
        </w:rPr>
      </w:pPr>
      <w:r w:rsidRPr="000C0379">
        <w:rPr>
          <w:rFonts w:ascii="Times New Roman" w:hAnsi="Times New Roman"/>
          <w:i/>
          <w:sz w:val="28"/>
          <w:szCs w:val="28"/>
        </w:rPr>
        <w:t>На правах рукописи</w:t>
      </w:r>
    </w:p>
    <w:p w:rsidR="000C0379" w:rsidRDefault="000C0379" w:rsidP="000C0379">
      <w:pPr>
        <w:rPr>
          <w:rFonts w:ascii="Times New Roman" w:hAnsi="Times New Roman"/>
          <w:sz w:val="28"/>
          <w:szCs w:val="28"/>
        </w:rPr>
      </w:pPr>
    </w:p>
    <w:p w:rsidR="00571C18" w:rsidRPr="000C0379" w:rsidRDefault="00571C18" w:rsidP="000C0379">
      <w:pPr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3B101F" w:rsidRDefault="004A644A" w:rsidP="000C0379">
      <w:pPr>
        <w:jc w:val="center"/>
        <w:rPr>
          <w:rFonts w:ascii="Times New Roman" w:hAnsi="Times New Roman"/>
          <w:sz w:val="32"/>
          <w:szCs w:val="32"/>
        </w:rPr>
      </w:pPr>
      <w:r w:rsidRPr="004A644A">
        <w:rPr>
          <w:rFonts w:ascii="Times New Roman" w:hAnsi="Times New Roman"/>
          <w:b/>
          <w:spacing w:val="9"/>
          <w:sz w:val="32"/>
          <w:szCs w:val="32"/>
        </w:rPr>
        <w:t xml:space="preserve">ГУКАСОВА </w:t>
      </w:r>
      <w:r>
        <w:rPr>
          <w:rFonts w:ascii="Times New Roman" w:hAnsi="Times New Roman"/>
          <w:b/>
          <w:spacing w:val="9"/>
          <w:sz w:val="32"/>
          <w:szCs w:val="32"/>
        </w:rPr>
        <w:t xml:space="preserve"> </w:t>
      </w:r>
      <w:r w:rsidRPr="004A644A">
        <w:rPr>
          <w:rFonts w:ascii="Times New Roman" w:hAnsi="Times New Roman"/>
          <w:b/>
          <w:spacing w:val="9"/>
          <w:sz w:val="32"/>
          <w:szCs w:val="32"/>
        </w:rPr>
        <w:t xml:space="preserve">Нина </w:t>
      </w:r>
      <w:r>
        <w:rPr>
          <w:rFonts w:ascii="Times New Roman" w:hAnsi="Times New Roman"/>
          <w:b/>
          <w:spacing w:val="9"/>
          <w:sz w:val="32"/>
          <w:szCs w:val="32"/>
        </w:rPr>
        <w:t xml:space="preserve"> </w:t>
      </w:r>
      <w:r w:rsidRPr="004A644A">
        <w:rPr>
          <w:rFonts w:ascii="Times New Roman" w:hAnsi="Times New Roman"/>
          <w:b/>
          <w:spacing w:val="9"/>
          <w:sz w:val="32"/>
          <w:szCs w:val="32"/>
        </w:rPr>
        <w:t>Рафаэловна</w:t>
      </w: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5E79F0" w:rsidRDefault="004A644A" w:rsidP="00BA037F">
      <w:pPr>
        <w:spacing w:after="0" w:line="360" w:lineRule="auto"/>
        <w:ind w:left="-142" w:right="-143"/>
        <w:jc w:val="center"/>
        <w:rPr>
          <w:rFonts w:ascii="Times New Roman" w:hAnsi="Times New Roman"/>
          <w:sz w:val="32"/>
          <w:szCs w:val="32"/>
        </w:rPr>
      </w:pPr>
      <w:r w:rsidRPr="004A644A">
        <w:rPr>
          <w:rFonts w:ascii="Times New Roman" w:hAnsi="Times New Roman"/>
          <w:sz w:val="32"/>
          <w:szCs w:val="32"/>
        </w:rPr>
        <w:t xml:space="preserve">ЭКОНОМИКО-СЕРВИСНЫЕ </w:t>
      </w:r>
      <w:r>
        <w:rPr>
          <w:rFonts w:ascii="Times New Roman" w:hAnsi="Times New Roman"/>
          <w:sz w:val="32"/>
          <w:szCs w:val="32"/>
        </w:rPr>
        <w:t xml:space="preserve"> </w:t>
      </w:r>
      <w:r w:rsidRPr="004A644A">
        <w:rPr>
          <w:rFonts w:ascii="Times New Roman" w:hAnsi="Times New Roman"/>
          <w:sz w:val="32"/>
          <w:szCs w:val="32"/>
        </w:rPr>
        <w:t xml:space="preserve">МЕХАНИЗМЫ </w:t>
      </w:r>
      <w:r>
        <w:rPr>
          <w:rFonts w:ascii="Times New Roman" w:hAnsi="Times New Roman"/>
          <w:sz w:val="32"/>
          <w:szCs w:val="32"/>
        </w:rPr>
        <w:t xml:space="preserve"> </w:t>
      </w:r>
      <w:r w:rsidRPr="004A644A">
        <w:rPr>
          <w:rFonts w:ascii="Times New Roman" w:hAnsi="Times New Roman"/>
          <w:sz w:val="32"/>
          <w:szCs w:val="32"/>
        </w:rPr>
        <w:t>СНИЖЕНИЯ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A644A">
        <w:rPr>
          <w:rFonts w:ascii="Times New Roman" w:hAnsi="Times New Roman"/>
          <w:sz w:val="32"/>
          <w:szCs w:val="32"/>
        </w:rPr>
        <w:t xml:space="preserve"> ЭНЕРГОЕМКОСТИ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4A644A">
        <w:rPr>
          <w:rFonts w:ascii="Times New Roman" w:hAnsi="Times New Roman"/>
          <w:sz w:val="32"/>
          <w:szCs w:val="32"/>
        </w:rPr>
        <w:t xml:space="preserve"> РОССИЙСКОЙ </w:t>
      </w:r>
      <w:r>
        <w:rPr>
          <w:rFonts w:ascii="Times New Roman" w:hAnsi="Times New Roman"/>
          <w:sz w:val="32"/>
          <w:szCs w:val="32"/>
        </w:rPr>
        <w:t xml:space="preserve"> </w:t>
      </w:r>
      <w:r w:rsidRPr="004A644A">
        <w:rPr>
          <w:rFonts w:ascii="Times New Roman" w:hAnsi="Times New Roman"/>
          <w:sz w:val="32"/>
          <w:szCs w:val="32"/>
        </w:rPr>
        <w:t>ПРОМЫШЛЕННОСТИ</w:t>
      </w:r>
    </w:p>
    <w:p w:rsidR="000C0379" w:rsidRPr="000C0379" w:rsidRDefault="000C0379" w:rsidP="000C037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0379" w:rsidRDefault="000C0379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C18" w:rsidRDefault="00571C18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C18" w:rsidRPr="000C0379" w:rsidRDefault="00571C18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15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 xml:space="preserve">08.00.05 </w:t>
      </w:r>
      <w:r w:rsidR="00161DEE">
        <w:rPr>
          <w:rFonts w:ascii="Times New Roman" w:hAnsi="Times New Roman"/>
          <w:sz w:val="28"/>
          <w:szCs w:val="28"/>
        </w:rPr>
        <w:t>-</w:t>
      </w:r>
      <w:r w:rsidRPr="000C0379">
        <w:rPr>
          <w:rFonts w:ascii="Times New Roman" w:hAnsi="Times New Roman"/>
          <w:sz w:val="28"/>
          <w:szCs w:val="28"/>
        </w:rPr>
        <w:t xml:space="preserve"> Экономика и управление народным хозяйством</w:t>
      </w:r>
      <w:r w:rsidR="00155DCB">
        <w:rPr>
          <w:rFonts w:ascii="Times New Roman" w:hAnsi="Times New Roman"/>
          <w:sz w:val="28"/>
          <w:szCs w:val="28"/>
        </w:rPr>
        <w:t>: э</w:t>
      </w:r>
      <w:r w:rsidR="00155DCB" w:rsidRPr="00155DCB">
        <w:rPr>
          <w:rFonts w:ascii="Times New Roman" w:hAnsi="Times New Roman"/>
          <w:sz w:val="28"/>
          <w:szCs w:val="28"/>
        </w:rPr>
        <w:t>кономика, организация и управление предприятиями, отраслями,</w:t>
      </w:r>
      <w:r w:rsidR="00161DEE">
        <w:rPr>
          <w:rFonts w:ascii="Times New Roman" w:hAnsi="Times New Roman"/>
          <w:sz w:val="28"/>
          <w:szCs w:val="28"/>
        </w:rPr>
        <w:t xml:space="preserve"> </w:t>
      </w:r>
      <w:r w:rsidR="00155DCB" w:rsidRPr="00155DCB">
        <w:rPr>
          <w:rFonts w:ascii="Times New Roman" w:hAnsi="Times New Roman"/>
          <w:sz w:val="28"/>
          <w:szCs w:val="28"/>
        </w:rPr>
        <w:t>комплексами</w:t>
      </w:r>
      <w:r w:rsidR="00161DEE">
        <w:rPr>
          <w:rFonts w:ascii="Times New Roman" w:hAnsi="Times New Roman"/>
          <w:sz w:val="28"/>
          <w:szCs w:val="28"/>
        </w:rPr>
        <w:t xml:space="preserve"> (промышленность</w:t>
      </w:r>
      <w:r w:rsidR="002F7201">
        <w:rPr>
          <w:rFonts w:ascii="Times New Roman" w:hAnsi="Times New Roman"/>
          <w:sz w:val="28"/>
          <w:szCs w:val="28"/>
        </w:rPr>
        <w:t>)</w:t>
      </w:r>
    </w:p>
    <w:p w:rsidR="000C0379" w:rsidRPr="00786BAD" w:rsidRDefault="000C0379" w:rsidP="00155D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0379" w:rsidRPr="00786BAD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786BAD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>А в т о р е ф е р а т</w:t>
      </w: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>диссертации на соискание учёной степени</w:t>
      </w:r>
    </w:p>
    <w:p w:rsidR="000C0379" w:rsidRPr="000C0379" w:rsidRDefault="002F7201" w:rsidP="000C03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</w:t>
      </w:r>
      <w:r w:rsidR="000C0379" w:rsidRPr="000C0379">
        <w:rPr>
          <w:rFonts w:ascii="Times New Roman" w:hAnsi="Times New Roman"/>
          <w:sz w:val="28"/>
          <w:szCs w:val="28"/>
        </w:rPr>
        <w:t xml:space="preserve"> экономических наук</w:t>
      </w:r>
    </w:p>
    <w:p w:rsid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3B101F" w:rsidRPr="000C0379" w:rsidRDefault="003B101F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161DEE" w:rsidP="000C0379">
      <w:pPr>
        <w:jc w:val="center"/>
        <w:rPr>
          <w:rFonts w:ascii="Times New Roman" w:hAnsi="Times New Roman"/>
          <w:sz w:val="28"/>
          <w:szCs w:val="28"/>
        </w:rPr>
        <w:sectPr w:rsidR="000C0379" w:rsidRPr="000C0379" w:rsidSect="00F40AF4">
          <w:headerReference w:type="even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</w:t>
      </w:r>
      <w:r w:rsidR="000C0379" w:rsidRPr="000C0379">
        <w:rPr>
          <w:rFonts w:ascii="Times New Roman" w:hAnsi="Times New Roman"/>
          <w:sz w:val="28"/>
          <w:szCs w:val="28"/>
        </w:rPr>
        <w:t xml:space="preserve"> – 20</w:t>
      </w:r>
      <w:r w:rsidR="003B101F">
        <w:rPr>
          <w:rFonts w:ascii="Times New Roman" w:hAnsi="Times New Roman"/>
          <w:sz w:val="28"/>
          <w:szCs w:val="28"/>
        </w:rPr>
        <w:t>1</w:t>
      </w:r>
      <w:r w:rsidR="00164100">
        <w:rPr>
          <w:rFonts w:ascii="Times New Roman" w:hAnsi="Times New Roman"/>
          <w:sz w:val="28"/>
          <w:szCs w:val="28"/>
        </w:rPr>
        <w:t>5</w:t>
      </w:r>
      <w:r w:rsidR="000C0379" w:rsidRPr="000C0379">
        <w:rPr>
          <w:rFonts w:ascii="Times New Roman" w:hAnsi="Times New Roman"/>
          <w:sz w:val="28"/>
          <w:szCs w:val="28"/>
        </w:rPr>
        <w:t xml:space="preserve"> </w:t>
      </w:r>
    </w:p>
    <w:p w:rsidR="00DA55BF" w:rsidRPr="00781CBC" w:rsidRDefault="00FA6525" w:rsidP="00FA65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7DB">
        <w:rPr>
          <w:rFonts w:ascii="Times New Roman" w:hAnsi="Times New Roman"/>
          <w:sz w:val="28"/>
          <w:szCs w:val="28"/>
        </w:rPr>
        <w:lastRenderedPageBreak/>
        <w:t xml:space="preserve">Работа выполнена в </w:t>
      </w:r>
      <w:r w:rsidR="004A644A" w:rsidRPr="004A644A">
        <w:rPr>
          <w:rFonts w:ascii="Times New Roman" w:hAnsi="Times New Roman"/>
          <w:sz w:val="28"/>
          <w:szCs w:val="28"/>
        </w:rPr>
        <w:t>Северо-Кавказск</w:t>
      </w:r>
      <w:r w:rsidR="00D1488D">
        <w:rPr>
          <w:rFonts w:ascii="Times New Roman" w:hAnsi="Times New Roman"/>
          <w:sz w:val="28"/>
          <w:szCs w:val="28"/>
        </w:rPr>
        <w:t>ом</w:t>
      </w:r>
      <w:r w:rsidR="004A644A" w:rsidRPr="004A644A">
        <w:rPr>
          <w:rFonts w:ascii="Times New Roman" w:hAnsi="Times New Roman"/>
          <w:sz w:val="28"/>
          <w:szCs w:val="28"/>
        </w:rPr>
        <w:t xml:space="preserve"> институт</w:t>
      </w:r>
      <w:r w:rsidR="00D1488D">
        <w:rPr>
          <w:rFonts w:ascii="Times New Roman" w:hAnsi="Times New Roman"/>
          <w:sz w:val="28"/>
          <w:szCs w:val="28"/>
        </w:rPr>
        <w:t>е</w:t>
      </w:r>
      <w:r w:rsidR="004A644A">
        <w:rPr>
          <w:rFonts w:ascii="Times New Roman" w:hAnsi="Times New Roman"/>
          <w:sz w:val="28"/>
          <w:szCs w:val="28"/>
        </w:rPr>
        <w:t xml:space="preserve"> </w:t>
      </w:r>
      <w:r w:rsidR="004A644A" w:rsidRPr="004A644A">
        <w:rPr>
          <w:rFonts w:ascii="Times New Roman" w:hAnsi="Times New Roman"/>
          <w:sz w:val="28"/>
          <w:szCs w:val="28"/>
        </w:rPr>
        <w:t>-</w:t>
      </w:r>
      <w:r w:rsidR="004A644A">
        <w:rPr>
          <w:rFonts w:ascii="Times New Roman" w:hAnsi="Times New Roman"/>
          <w:sz w:val="28"/>
          <w:szCs w:val="28"/>
        </w:rPr>
        <w:t xml:space="preserve"> </w:t>
      </w:r>
      <w:r w:rsidR="004A644A" w:rsidRPr="004A644A">
        <w:rPr>
          <w:rFonts w:ascii="Times New Roman" w:hAnsi="Times New Roman"/>
          <w:sz w:val="28"/>
          <w:szCs w:val="28"/>
        </w:rPr>
        <w:t>филиал</w:t>
      </w:r>
      <w:r w:rsidR="00D1488D">
        <w:rPr>
          <w:rFonts w:ascii="Times New Roman" w:hAnsi="Times New Roman"/>
          <w:sz w:val="28"/>
          <w:szCs w:val="28"/>
        </w:rPr>
        <w:t>е</w:t>
      </w:r>
      <w:r w:rsidR="004A644A" w:rsidRPr="004A644A">
        <w:rPr>
          <w:rFonts w:ascii="Times New Roman" w:hAnsi="Times New Roman"/>
          <w:sz w:val="28"/>
          <w:szCs w:val="28"/>
        </w:rPr>
        <w:t xml:space="preserve"> </w:t>
      </w:r>
      <w:r w:rsidR="00D1488D" w:rsidRPr="00AF37DB">
        <w:rPr>
          <w:rFonts w:ascii="Times New Roman" w:hAnsi="Times New Roman"/>
          <w:sz w:val="28"/>
          <w:szCs w:val="28"/>
        </w:rPr>
        <w:t xml:space="preserve">ФГБОУ ВПО </w:t>
      </w:r>
      <w:r w:rsidR="00D1488D">
        <w:rPr>
          <w:rFonts w:ascii="Times New Roman" w:hAnsi="Times New Roman"/>
          <w:sz w:val="28"/>
          <w:szCs w:val="28"/>
        </w:rPr>
        <w:t>"</w:t>
      </w:r>
      <w:r w:rsidR="004A644A" w:rsidRPr="004A644A">
        <w:rPr>
          <w:rFonts w:ascii="Times New Roman" w:hAnsi="Times New Roman"/>
          <w:sz w:val="28"/>
          <w:szCs w:val="28"/>
        </w:rPr>
        <w:t>Российск</w:t>
      </w:r>
      <w:r w:rsidR="00D1488D">
        <w:rPr>
          <w:rFonts w:ascii="Times New Roman" w:hAnsi="Times New Roman"/>
          <w:sz w:val="28"/>
          <w:szCs w:val="28"/>
        </w:rPr>
        <w:t>ая</w:t>
      </w:r>
      <w:r w:rsidR="004A644A" w:rsidRPr="004A644A">
        <w:rPr>
          <w:rFonts w:ascii="Times New Roman" w:hAnsi="Times New Roman"/>
          <w:sz w:val="28"/>
          <w:szCs w:val="28"/>
        </w:rPr>
        <w:t xml:space="preserve"> академи</w:t>
      </w:r>
      <w:r w:rsidR="00D1488D">
        <w:rPr>
          <w:rFonts w:ascii="Times New Roman" w:hAnsi="Times New Roman"/>
          <w:sz w:val="28"/>
          <w:szCs w:val="28"/>
        </w:rPr>
        <w:t>я</w:t>
      </w:r>
      <w:r w:rsidR="004A644A" w:rsidRPr="004A644A">
        <w:rPr>
          <w:rFonts w:ascii="Times New Roman" w:hAnsi="Times New Roman"/>
          <w:sz w:val="28"/>
          <w:szCs w:val="28"/>
        </w:rPr>
        <w:t xml:space="preserve"> народного хозяйства и государственной службы</w:t>
      </w:r>
      <w:r w:rsidR="00D1488D" w:rsidRPr="00D1488D">
        <w:rPr>
          <w:rFonts w:ascii="Times New Roman" w:hAnsi="Times New Roman"/>
          <w:sz w:val="28"/>
          <w:szCs w:val="28"/>
        </w:rPr>
        <w:t xml:space="preserve"> </w:t>
      </w:r>
      <w:r w:rsidR="00D1488D" w:rsidRPr="000D3736">
        <w:rPr>
          <w:rFonts w:ascii="Times New Roman" w:hAnsi="Times New Roman"/>
          <w:sz w:val="28"/>
          <w:szCs w:val="28"/>
        </w:rPr>
        <w:t>при Президенте Российской Федерации</w:t>
      </w:r>
      <w:r w:rsidRPr="00AF37DB">
        <w:rPr>
          <w:rFonts w:ascii="Times New Roman" w:hAnsi="Times New Roman"/>
          <w:sz w:val="28"/>
          <w:szCs w:val="28"/>
        </w:rPr>
        <w:t>"</w:t>
      </w:r>
      <w:r w:rsidR="00EF3541">
        <w:rPr>
          <w:rFonts w:ascii="Times New Roman" w:hAnsi="Times New Roman"/>
          <w:sz w:val="28"/>
          <w:szCs w:val="28"/>
        </w:rPr>
        <w:t xml:space="preserve"> </w:t>
      </w:r>
    </w:p>
    <w:p w:rsidR="00DA55BF" w:rsidRPr="000C0379" w:rsidRDefault="00DA55BF" w:rsidP="00DA55B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A55BF" w:rsidRPr="000C0379" w:rsidRDefault="00DA55BF" w:rsidP="00DA55B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353C9">
        <w:rPr>
          <w:rFonts w:ascii="Times New Roman" w:hAnsi="Times New Roman"/>
          <w:b/>
          <w:sz w:val="28"/>
          <w:szCs w:val="28"/>
        </w:rPr>
        <w:t>Научны</w:t>
      </w:r>
      <w:r w:rsidR="00EF3541">
        <w:rPr>
          <w:rFonts w:ascii="Times New Roman" w:hAnsi="Times New Roman"/>
          <w:b/>
          <w:sz w:val="28"/>
          <w:szCs w:val="28"/>
        </w:rPr>
        <w:t>й</w:t>
      </w:r>
      <w:r w:rsidR="00FA6525">
        <w:rPr>
          <w:rFonts w:ascii="Times New Roman" w:hAnsi="Times New Roman"/>
          <w:b/>
          <w:sz w:val="28"/>
          <w:szCs w:val="28"/>
        </w:rPr>
        <w:t xml:space="preserve"> </w:t>
      </w:r>
      <w:r w:rsidRPr="004353C9">
        <w:rPr>
          <w:rFonts w:ascii="Times New Roman" w:hAnsi="Times New Roman"/>
          <w:b/>
          <w:sz w:val="28"/>
          <w:szCs w:val="28"/>
        </w:rPr>
        <w:t xml:space="preserve"> </w:t>
      </w:r>
      <w:r w:rsidR="002F7201" w:rsidRPr="004353C9">
        <w:rPr>
          <w:rFonts w:ascii="Times New Roman" w:hAnsi="Times New Roman"/>
          <w:b/>
          <w:sz w:val="28"/>
          <w:szCs w:val="28"/>
        </w:rPr>
        <w:t>руководител</w:t>
      </w:r>
      <w:r w:rsidR="00EF3541">
        <w:rPr>
          <w:rFonts w:ascii="Times New Roman" w:hAnsi="Times New Roman"/>
          <w:b/>
          <w:sz w:val="28"/>
          <w:szCs w:val="28"/>
        </w:rPr>
        <w:t>ь</w:t>
      </w:r>
      <w:r w:rsidRPr="004353C9">
        <w:rPr>
          <w:rFonts w:ascii="Times New Roman" w:hAnsi="Times New Roman"/>
          <w:b/>
          <w:sz w:val="28"/>
          <w:szCs w:val="28"/>
        </w:rPr>
        <w:t>:</w:t>
      </w:r>
      <w:r w:rsidRPr="000C0379">
        <w:rPr>
          <w:rFonts w:ascii="Times New Roman" w:hAnsi="Times New Roman"/>
          <w:sz w:val="28"/>
          <w:szCs w:val="28"/>
        </w:rPr>
        <w:tab/>
      </w:r>
      <w:r w:rsidR="00194687">
        <w:rPr>
          <w:rFonts w:ascii="Times New Roman" w:hAnsi="Times New Roman"/>
          <w:sz w:val="28"/>
          <w:szCs w:val="28"/>
        </w:rPr>
        <w:t xml:space="preserve">доктор </w:t>
      </w:r>
      <w:r w:rsidRPr="000C0379">
        <w:rPr>
          <w:rFonts w:ascii="Times New Roman" w:hAnsi="Times New Roman"/>
          <w:sz w:val="28"/>
          <w:szCs w:val="28"/>
        </w:rPr>
        <w:t>экономических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F94">
        <w:rPr>
          <w:rFonts w:ascii="Times New Roman" w:hAnsi="Times New Roman"/>
          <w:sz w:val="28"/>
          <w:szCs w:val="28"/>
        </w:rPr>
        <w:t>профессор</w:t>
      </w:r>
    </w:p>
    <w:p w:rsidR="00031DCA" w:rsidRPr="000C0379" w:rsidRDefault="00EF3541" w:rsidP="00031DCA">
      <w:pPr>
        <w:spacing w:after="0"/>
        <w:ind w:left="3528" w:firstLine="720"/>
        <w:rPr>
          <w:rFonts w:ascii="Times New Roman" w:hAnsi="Times New Roman"/>
          <w:sz w:val="28"/>
          <w:szCs w:val="28"/>
        </w:rPr>
      </w:pPr>
      <w:r w:rsidRPr="00EF3541">
        <w:rPr>
          <w:rFonts w:ascii="Times New Roman" w:hAnsi="Times New Roman"/>
          <w:b/>
          <w:bCs/>
          <w:iCs/>
          <w:sz w:val="28"/>
          <w:szCs w:val="28"/>
        </w:rPr>
        <w:t>К</w:t>
      </w:r>
      <w:r w:rsidR="00666F94">
        <w:rPr>
          <w:rFonts w:ascii="Times New Roman" w:hAnsi="Times New Roman"/>
          <w:b/>
          <w:bCs/>
          <w:iCs/>
          <w:sz w:val="28"/>
          <w:szCs w:val="28"/>
        </w:rPr>
        <w:t>иселева</w:t>
      </w:r>
      <w:r w:rsidRPr="00EF354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66F94">
        <w:rPr>
          <w:rFonts w:ascii="Times New Roman" w:hAnsi="Times New Roman"/>
          <w:b/>
          <w:bCs/>
          <w:iCs/>
          <w:sz w:val="28"/>
          <w:szCs w:val="28"/>
        </w:rPr>
        <w:t>Наталья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F354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66F94">
        <w:rPr>
          <w:rFonts w:ascii="Times New Roman" w:hAnsi="Times New Roman"/>
          <w:b/>
          <w:bCs/>
          <w:iCs/>
          <w:sz w:val="28"/>
          <w:szCs w:val="28"/>
        </w:rPr>
        <w:t>Николаевна</w:t>
      </w:r>
    </w:p>
    <w:p w:rsidR="00F17538" w:rsidRDefault="00F17538" w:rsidP="00C90394">
      <w:pPr>
        <w:spacing w:after="0"/>
        <w:ind w:left="3528" w:firstLine="720"/>
        <w:rPr>
          <w:rFonts w:ascii="Times New Roman" w:hAnsi="Times New Roman"/>
          <w:sz w:val="28"/>
          <w:szCs w:val="28"/>
        </w:rPr>
      </w:pPr>
    </w:p>
    <w:p w:rsidR="001A5BCF" w:rsidRDefault="001A5BCF" w:rsidP="001A5BC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168D4">
        <w:rPr>
          <w:rFonts w:ascii="Times New Roman" w:hAnsi="Times New Roman"/>
          <w:b/>
          <w:sz w:val="28"/>
          <w:szCs w:val="28"/>
        </w:rPr>
        <w:t>Официальные оппоненты</w:t>
      </w:r>
      <w:r>
        <w:rPr>
          <w:rFonts w:ascii="Times New Roman" w:hAnsi="Times New Roman"/>
          <w:sz w:val="28"/>
          <w:szCs w:val="28"/>
        </w:rPr>
        <w:t>:</w:t>
      </w:r>
    </w:p>
    <w:p w:rsidR="00E536B0" w:rsidRPr="00E536B0" w:rsidRDefault="001A5BCF" w:rsidP="00E536B0">
      <w:pPr>
        <w:spacing w:after="0"/>
        <w:ind w:firstLine="721"/>
        <w:jc w:val="center"/>
        <w:rPr>
          <w:rFonts w:ascii="Times New Roman" w:hAnsi="Times New Roman"/>
          <w:sz w:val="28"/>
          <w:szCs w:val="28"/>
        </w:rPr>
      </w:pPr>
      <w:r w:rsidRPr="001A5BCF">
        <w:rPr>
          <w:rFonts w:ascii="Times New Roman" w:hAnsi="Times New Roman"/>
          <w:b/>
          <w:sz w:val="28"/>
          <w:szCs w:val="28"/>
        </w:rPr>
        <w:t>Анопченко Татьяна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736">
        <w:rPr>
          <w:rFonts w:ascii="Times New Roman" w:hAnsi="Times New Roman"/>
          <w:sz w:val="28"/>
          <w:szCs w:val="28"/>
        </w:rPr>
        <w:t xml:space="preserve">- доктор экономических наук, профессор, </w:t>
      </w:r>
      <w:r w:rsidR="00413EE0" w:rsidRPr="00413EE0">
        <w:rPr>
          <w:rFonts w:ascii="Times New Roman" w:hAnsi="Times New Roman"/>
          <w:sz w:val="28"/>
          <w:szCs w:val="28"/>
        </w:rPr>
        <w:t>ФГАОУ ВО «Южный Федеральный Университет»</w:t>
      </w:r>
      <w:r w:rsidRPr="00413EE0">
        <w:rPr>
          <w:rFonts w:ascii="Times New Roman" w:hAnsi="Times New Roman"/>
          <w:sz w:val="28"/>
          <w:szCs w:val="28"/>
        </w:rPr>
        <w:t>,</w:t>
      </w:r>
      <w:r w:rsidRPr="000D3736">
        <w:rPr>
          <w:rFonts w:ascii="Times New Roman" w:hAnsi="Times New Roman"/>
          <w:sz w:val="28"/>
          <w:szCs w:val="28"/>
        </w:rPr>
        <w:t xml:space="preserve">  кафедра «</w:t>
      </w:r>
      <w:r w:rsidR="00E536B0">
        <w:rPr>
          <w:rFonts w:ascii="Times New Roman" w:hAnsi="Times New Roman"/>
          <w:sz w:val="28"/>
          <w:szCs w:val="28"/>
        </w:rPr>
        <w:t>Теорий и технологий в менеджменте</w:t>
      </w:r>
      <w:r w:rsidRPr="000D3736">
        <w:rPr>
          <w:rFonts w:ascii="Times New Roman" w:hAnsi="Times New Roman"/>
          <w:sz w:val="28"/>
          <w:szCs w:val="28"/>
        </w:rPr>
        <w:t>», профессор кафе</w:t>
      </w:r>
      <w:r w:rsidRPr="000D3736">
        <w:rPr>
          <w:rFonts w:ascii="Times New Roman" w:hAnsi="Times New Roman"/>
          <w:sz w:val="28"/>
          <w:szCs w:val="28"/>
        </w:rPr>
        <w:t>д</w:t>
      </w:r>
      <w:r w:rsidRPr="000D3736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E536B0" w:rsidRPr="00E536B0">
        <w:rPr>
          <w:rFonts w:ascii="Times New Roman" w:hAnsi="Times New Roman"/>
          <w:sz w:val="28"/>
          <w:szCs w:val="28"/>
        </w:rPr>
        <w:t>(г. Ростов-на-Дону)</w:t>
      </w:r>
    </w:p>
    <w:p w:rsidR="001A5BCF" w:rsidRPr="00855285" w:rsidRDefault="001A5BCF" w:rsidP="001A5BCF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A5BCF" w:rsidRPr="00855285" w:rsidRDefault="009E6791" w:rsidP="001A5BCF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Скляренко Семен Александрович</w:t>
      </w:r>
      <w:r w:rsidR="00180F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BCF" w:rsidRPr="00855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1A5BCF">
        <w:rPr>
          <w:rFonts w:ascii="Times New Roman" w:hAnsi="Times New Roman"/>
          <w:sz w:val="28"/>
          <w:szCs w:val="28"/>
        </w:rPr>
        <w:t>кандидат экономических наук, доцент,</w:t>
      </w:r>
      <w:r w:rsidR="001A5BCF" w:rsidRPr="000D3736">
        <w:rPr>
          <w:rFonts w:ascii="Times New Roman" w:hAnsi="Times New Roman"/>
          <w:sz w:val="28"/>
          <w:szCs w:val="28"/>
        </w:rPr>
        <w:t xml:space="preserve"> ФГБОУ ВПО </w:t>
      </w:r>
      <w:r w:rsidR="001A5BCF">
        <w:rPr>
          <w:rFonts w:ascii="Times New Roman" w:hAnsi="Times New Roman"/>
          <w:bCs/>
          <w:iCs/>
          <w:sz w:val="28"/>
          <w:szCs w:val="28"/>
        </w:rPr>
        <w:t>«Мо</w:t>
      </w:r>
      <w:r w:rsidR="001A5BCF">
        <w:rPr>
          <w:rFonts w:ascii="Times New Roman" w:hAnsi="Times New Roman"/>
          <w:bCs/>
          <w:iCs/>
          <w:sz w:val="28"/>
          <w:szCs w:val="28"/>
        </w:rPr>
        <w:t>с</w:t>
      </w:r>
      <w:r w:rsidR="001A5BCF">
        <w:rPr>
          <w:rFonts w:ascii="Times New Roman" w:hAnsi="Times New Roman"/>
          <w:bCs/>
          <w:iCs/>
          <w:sz w:val="28"/>
          <w:szCs w:val="28"/>
        </w:rPr>
        <w:t>ковский государственный университет пищевых производств»</w:t>
      </w:r>
      <w:r w:rsidR="001A5BCF" w:rsidRPr="000D3736">
        <w:rPr>
          <w:rFonts w:ascii="Times New Roman" w:hAnsi="Times New Roman"/>
          <w:sz w:val="28"/>
          <w:szCs w:val="28"/>
        </w:rPr>
        <w:t xml:space="preserve">,  кафедра </w:t>
      </w:r>
      <w:r w:rsidR="001A5BCF" w:rsidRPr="00C91D0C">
        <w:rPr>
          <w:rFonts w:ascii="Times New Roman" w:hAnsi="Times New Roman"/>
          <w:sz w:val="28"/>
          <w:szCs w:val="28"/>
        </w:rPr>
        <w:t>«</w:t>
      </w:r>
      <w:r w:rsidR="00C91D0C" w:rsidRPr="00C91D0C">
        <w:rPr>
          <w:rFonts w:ascii="Times New Roman" w:hAnsi="Times New Roman"/>
          <w:bCs/>
          <w:sz w:val="28"/>
          <w:szCs w:val="28"/>
        </w:rPr>
        <w:t>Современные торговые операции север-юг</w:t>
      </w:r>
      <w:r w:rsidR="001A5BCF" w:rsidRPr="00C91D0C">
        <w:rPr>
          <w:rFonts w:ascii="Times New Roman" w:hAnsi="Times New Roman"/>
          <w:sz w:val="28"/>
          <w:szCs w:val="28"/>
        </w:rPr>
        <w:t>»,</w:t>
      </w:r>
      <w:r w:rsidR="001A5BCF">
        <w:rPr>
          <w:rFonts w:ascii="Times New Roman" w:hAnsi="Times New Roman"/>
          <w:sz w:val="28"/>
          <w:szCs w:val="28"/>
        </w:rPr>
        <w:t xml:space="preserve"> доцент</w:t>
      </w:r>
      <w:r w:rsidR="001A5BCF" w:rsidRPr="000D3736">
        <w:rPr>
          <w:rFonts w:ascii="Times New Roman" w:hAnsi="Times New Roman"/>
          <w:sz w:val="28"/>
          <w:szCs w:val="28"/>
        </w:rPr>
        <w:t xml:space="preserve"> кафе</w:t>
      </w:r>
      <w:r w:rsidR="001A5BCF" w:rsidRPr="000D3736">
        <w:rPr>
          <w:rFonts w:ascii="Times New Roman" w:hAnsi="Times New Roman"/>
          <w:sz w:val="28"/>
          <w:szCs w:val="28"/>
        </w:rPr>
        <w:t>д</w:t>
      </w:r>
      <w:r w:rsidR="001A5BCF" w:rsidRPr="000D3736">
        <w:rPr>
          <w:rFonts w:ascii="Times New Roman" w:hAnsi="Times New Roman"/>
          <w:sz w:val="28"/>
          <w:szCs w:val="28"/>
        </w:rPr>
        <w:t>ры</w:t>
      </w:r>
      <w:r w:rsidR="001A5BCF">
        <w:rPr>
          <w:rFonts w:ascii="Times New Roman" w:hAnsi="Times New Roman"/>
          <w:sz w:val="28"/>
          <w:szCs w:val="28"/>
        </w:rPr>
        <w:t xml:space="preserve">  </w:t>
      </w:r>
      <w:r w:rsidR="001A5BCF" w:rsidRPr="000D3736">
        <w:rPr>
          <w:rFonts w:ascii="Times New Roman" w:hAnsi="Times New Roman"/>
          <w:sz w:val="28"/>
          <w:szCs w:val="28"/>
        </w:rPr>
        <w:t>(г.</w:t>
      </w:r>
      <w:r w:rsidR="001A5BCF">
        <w:rPr>
          <w:rFonts w:ascii="Times New Roman" w:hAnsi="Times New Roman"/>
          <w:sz w:val="28"/>
          <w:szCs w:val="28"/>
        </w:rPr>
        <w:t xml:space="preserve"> Москва</w:t>
      </w:r>
      <w:r w:rsidR="001A5BCF" w:rsidRPr="000D3736">
        <w:rPr>
          <w:rFonts w:ascii="Times New Roman" w:hAnsi="Times New Roman"/>
          <w:sz w:val="28"/>
          <w:szCs w:val="28"/>
        </w:rPr>
        <w:t>)</w:t>
      </w:r>
    </w:p>
    <w:p w:rsidR="001A5BCF" w:rsidRPr="00F04E94" w:rsidRDefault="001A5BCF" w:rsidP="001A5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BCF" w:rsidRDefault="001A5BCF" w:rsidP="001A5BCF">
      <w:pPr>
        <w:spacing w:after="0"/>
        <w:ind w:left="4321" w:hanging="3600"/>
        <w:jc w:val="both"/>
        <w:rPr>
          <w:rFonts w:ascii="Times New Roman" w:hAnsi="Times New Roman"/>
          <w:sz w:val="28"/>
          <w:szCs w:val="28"/>
        </w:rPr>
      </w:pPr>
      <w:r w:rsidRPr="00F168D4">
        <w:rPr>
          <w:rFonts w:ascii="Times New Roman" w:hAnsi="Times New Roman"/>
          <w:b/>
          <w:sz w:val="28"/>
          <w:szCs w:val="28"/>
        </w:rPr>
        <w:t>Ведущая 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F5C" w:rsidRPr="00180F5C" w:rsidRDefault="00180F5C" w:rsidP="00180F5C">
      <w:pPr>
        <w:jc w:val="both"/>
        <w:rPr>
          <w:rFonts w:ascii="Times New Roman" w:hAnsi="Times New Roman"/>
          <w:b/>
          <w:sz w:val="28"/>
          <w:szCs w:val="28"/>
        </w:rPr>
      </w:pPr>
      <w:r w:rsidRPr="00180F5C">
        <w:rPr>
          <w:rFonts w:ascii="Times New Roman" w:hAnsi="Times New Roman"/>
          <w:sz w:val="28"/>
          <w:szCs w:val="28"/>
        </w:rPr>
        <w:t xml:space="preserve"> </w:t>
      </w:r>
      <w:r w:rsidRPr="00180F5C">
        <w:rPr>
          <w:rFonts w:ascii="Times New Roman" w:hAnsi="Times New Roman"/>
          <w:b/>
          <w:sz w:val="28"/>
          <w:szCs w:val="28"/>
        </w:rPr>
        <w:t>ФГБОУ ВПО</w:t>
      </w:r>
      <w:r w:rsidR="001A5BCF" w:rsidRPr="00180F5C">
        <w:rPr>
          <w:rFonts w:ascii="Times New Roman" w:hAnsi="Times New Roman"/>
          <w:b/>
          <w:sz w:val="28"/>
          <w:szCs w:val="28"/>
        </w:rPr>
        <w:t xml:space="preserve"> </w:t>
      </w:r>
      <w:r w:rsidRPr="00180F5C">
        <w:rPr>
          <w:rFonts w:ascii="Times New Roman" w:hAnsi="Times New Roman"/>
          <w:b/>
          <w:sz w:val="28"/>
          <w:szCs w:val="28"/>
        </w:rPr>
        <w:t>«Северо-Кавказский горно-металлургический институт (государственный технологический университет)»(г.Владикавказ)</w:t>
      </w:r>
    </w:p>
    <w:p w:rsidR="001A5BCF" w:rsidRPr="00F94644" w:rsidRDefault="00180F5C" w:rsidP="00180F5C">
      <w:pPr>
        <w:spacing w:after="0"/>
        <w:ind w:firstLine="721"/>
        <w:jc w:val="center"/>
        <w:rPr>
          <w:rFonts w:ascii="Times New Roman" w:hAnsi="Times New Roman"/>
          <w:sz w:val="28"/>
          <w:szCs w:val="28"/>
        </w:rPr>
      </w:pPr>
      <w:r w:rsidRPr="004D692A">
        <w:rPr>
          <w:rFonts w:ascii="Times New Roman" w:hAnsi="Times New Roman"/>
          <w:b/>
          <w:sz w:val="28"/>
          <w:szCs w:val="28"/>
        </w:rPr>
        <w:t xml:space="preserve"> </w:t>
      </w:r>
    </w:p>
    <w:p w:rsidR="00AF7CCC" w:rsidRDefault="00AF7CCC" w:rsidP="00C50BC3">
      <w:pPr>
        <w:spacing w:after="0" w:line="240" w:lineRule="auto"/>
        <w:ind w:right="-82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Защита состоится </w:t>
      </w:r>
      <w:r w:rsidRPr="00E7062C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A71744" w:rsidRPr="00A71744">
        <w:rPr>
          <w:rFonts w:ascii="Times New Roman" w:hAnsi="Times New Roman"/>
          <w:bCs/>
          <w:iCs/>
          <w:sz w:val="28"/>
          <w:szCs w:val="28"/>
        </w:rPr>
        <w:t>16</w:t>
      </w:r>
      <w:r w:rsidRPr="000E1F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мая  2015 г. в  </w:t>
      </w:r>
      <w:r w:rsidR="00A71744" w:rsidRPr="00A71744">
        <w:rPr>
          <w:rFonts w:ascii="Times New Roman" w:hAnsi="Times New Roman"/>
          <w:bCs/>
          <w:iCs/>
          <w:sz w:val="28"/>
          <w:szCs w:val="28"/>
        </w:rPr>
        <w:t>10</w:t>
      </w: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00</w:t>
      </w:r>
      <w:r>
        <w:rPr>
          <w:rFonts w:ascii="Times New Roman" w:hAnsi="Times New Roman"/>
          <w:bCs/>
          <w:iCs/>
          <w:sz w:val="28"/>
          <w:szCs w:val="28"/>
        </w:rPr>
        <w:t xml:space="preserve"> часов на заседании диссерт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ционного совета Д 212.148.06 по экономическим наукам при ФГБОУ ВПО «Московский государственный университет пищевых производств» по адресу: </w:t>
      </w:r>
      <w:smartTag w:uri="urn:schemas-microsoft-com:office:smarttags" w:element="metricconverter">
        <w:smartTagPr>
          <w:attr w:name="ProductID" w:val="125080, г"/>
        </w:smartTagPr>
        <w:r>
          <w:rPr>
            <w:rFonts w:ascii="Times New Roman" w:hAnsi="Times New Roman"/>
            <w:bCs/>
            <w:iCs/>
            <w:sz w:val="28"/>
            <w:szCs w:val="28"/>
          </w:rPr>
          <w:t>125080, г</w:t>
        </w:r>
      </w:smartTag>
      <w:r>
        <w:rPr>
          <w:rFonts w:ascii="Times New Roman" w:hAnsi="Times New Roman"/>
          <w:bCs/>
          <w:iCs/>
          <w:sz w:val="28"/>
          <w:szCs w:val="28"/>
        </w:rPr>
        <w:t>. Москва, Волоколамское шоссе, д. 11.</w:t>
      </w:r>
    </w:p>
    <w:p w:rsidR="00C50BC3" w:rsidRDefault="00C50BC3" w:rsidP="00C50BC3">
      <w:pPr>
        <w:spacing w:after="0" w:line="240" w:lineRule="auto"/>
        <w:ind w:right="-82"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7CCC" w:rsidRDefault="00AF7CCC" w:rsidP="00C50B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7736">
        <w:rPr>
          <w:rFonts w:ascii="Times New Roman" w:hAnsi="Times New Roman"/>
          <w:bCs/>
          <w:iCs/>
          <w:sz w:val="28"/>
          <w:szCs w:val="28"/>
        </w:rPr>
        <w:t>С диссертацией и авторефератом можно ознакомиться в библиотеке и на официальном сайте ФГБОУ ВПО «Московский государственный университет пищевых производств»:</w:t>
      </w:r>
      <w:r w:rsidRPr="00007736">
        <w:rPr>
          <w:rFonts w:ascii="Times New Roman" w:hAnsi="Times New Roman"/>
          <w:sz w:val="28"/>
          <w:szCs w:val="24"/>
        </w:rPr>
        <w:t xml:space="preserve"> </w:t>
      </w:r>
      <w:r w:rsidR="00C50BC3" w:rsidRPr="00C50BC3">
        <w:rPr>
          <w:rFonts w:ascii="Times New Roman" w:hAnsi="Times New Roman"/>
          <w:sz w:val="28"/>
          <w:szCs w:val="28"/>
        </w:rPr>
        <w:t>http://www.mgupp.ru</w:t>
      </w:r>
      <w:r w:rsidRPr="00B30192">
        <w:rPr>
          <w:rFonts w:ascii="Times New Roman" w:hAnsi="Times New Roman"/>
          <w:sz w:val="28"/>
          <w:szCs w:val="28"/>
        </w:rPr>
        <w:t xml:space="preserve"> </w:t>
      </w:r>
    </w:p>
    <w:p w:rsidR="00C50BC3" w:rsidRPr="00007736" w:rsidRDefault="00C50BC3" w:rsidP="00C50B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7CCC" w:rsidRPr="00007736" w:rsidRDefault="00AF7CCC" w:rsidP="00C50B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1FB4">
        <w:rPr>
          <w:rFonts w:ascii="Times New Roman" w:hAnsi="Times New Roman"/>
          <w:sz w:val="28"/>
          <w:szCs w:val="28"/>
        </w:rPr>
        <w:t>Электронная версия автореферата</w:t>
      </w:r>
      <w:r w:rsidRPr="00007736">
        <w:rPr>
          <w:rFonts w:ascii="Times New Roman" w:hAnsi="Times New Roman"/>
          <w:sz w:val="28"/>
          <w:szCs w:val="28"/>
        </w:rPr>
        <w:t xml:space="preserve"> размещена на официальном сайте ВАК Министерства образования  и науки РФ  http://vak.ed.gov.ru </w:t>
      </w:r>
    </w:p>
    <w:p w:rsidR="00AF7CCC" w:rsidRPr="00007736" w:rsidRDefault="00AF7CCC" w:rsidP="00C5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CCC" w:rsidRPr="00007736" w:rsidRDefault="00AF7CCC" w:rsidP="00AF7CCC">
      <w:pPr>
        <w:spacing w:after="0"/>
        <w:ind w:right="-82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007736">
        <w:rPr>
          <w:rFonts w:ascii="Times New Roman" w:hAnsi="Times New Roman"/>
          <w:bCs/>
          <w:iCs/>
          <w:sz w:val="28"/>
          <w:szCs w:val="28"/>
        </w:rPr>
        <w:t xml:space="preserve">Автореферат разослан «__»__________   2015 г. </w:t>
      </w:r>
    </w:p>
    <w:p w:rsidR="00AF7CCC" w:rsidRDefault="00AF7CCC" w:rsidP="00AF7CCC">
      <w:pPr>
        <w:spacing w:after="0"/>
        <w:ind w:right="-82" w:firstLine="540"/>
        <w:rPr>
          <w:rFonts w:ascii="Times New Roman" w:hAnsi="Times New Roman"/>
          <w:sz w:val="28"/>
          <w:szCs w:val="28"/>
        </w:rPr>
      </w:pPr>
    </w:p>
    <w:p w:rsidR="00DA55BF" w:rsidRDefault="00DA55BF" w:rsidP="00C90394">
      <w:pPr>
        <w:spacing w:after="0"/>
        <w:ind w:right="-82" w:firstLine="540"/>
        <w:rPr>
          <w:rFonts w:ascii="Times New Roman" w:hAnsi="Times New Roman"/>
          <w:sz w:val="28"/>
          <w:szCs w:val="28"/>
        </w:rPr>
      </w:pPr>
    </w:p>
    <w:p w:rsidR="004353C9" w:rsidRPr="000C0379" w:rsidRDefault="004353C9" w:rsidP="00C90394">
      <w:pPr>
        <w:spacing w:after="0"/>
        <w:ind w:right="-82" w:firstLine="540"/>
        <w:rPr>
          <w:rFonts w:ascii="Times New Roman" w:hAnsi="Times New Roman"/>
          <w:sz w:val="28"/>
          <w:szCs w:val="28"/>
        </w:rPr>
      </w:pPr>
    </w:p>
    <w:p w:rsidR="00DA55BF" w:rsidRPr="000C0379" w:rsidRDefault="006232E5" w:rsidP="006232E5">
      <w:pPr>
        <w:spacing w:after="0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И. о. Ученого  секретаря</w:t>
      </w:r>
    </w:p>
    <w:p w:rsidR="00DA55BF" w:rsidRPr="000C0379" w:rsidRDefault="00DA55BF" w:rsidP="00DA55BF">
      <w:pPr>
        <w:ind w:right="-82" w:firstLine="540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>диссертационного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232E5">
        <w:rPr>
          <w:rFonts w:ascii="Times New Roman" w:hAnsi="Times New Roman"/>
          <w:sz w:val="28"/>
          <w:szCs w:val="28"/>
        </w:rPr>
        <w:t>А.Б.Нагоев</w:t>
      </w:r>
    </w:p>
    <w:p w:rsidR="000C0379" w:rsidRPr="003114D7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3114D7" w:rsidRDefault="000C0379" w:rsidP="000C0379">
      <w:pPr>
        <w:jc w:val="center"/>
        <w:rPr>
          <w:rFonts w:ascii="Times New Roman" w:hAnsi="Times New Roman"/>
          <w:sz w:val="28"/>
          <w:szCs w:val="28"/>
        </w:rPr>
        <w:sectPr w:rsidR="000C0379" w:rsidRPr="003114D7" w:rsidSect="00F40AF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541DC" w:rsidRPr="00D541DC" w:rsidRDefault="00D541DC" w:rsidP="00CE53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0379" w:rsidRPr="003114D7" w:rsidRDefault="000C0379" w:rsidP="00CE53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b/>
          <w:sz w:val="28"/>
          <w:szCs w:val="28"/>
        </w:rPr>
        <w:t xml:space="preserve">Общая </w:t>
      </w:r>
      <w:r w:rsidR="003B101F">
        <w:rPr>
          <w:rFonts w:ascii="Times New Roman" w:hAnsi="Times New Roman"/>
          <w:b/>
          <w:sz w:val="28"/>
          <w:szCs w:val="28"/>
        </w:rPr>
        <w:t xml:space="preserve"> </w:t>
      </w:r>
      <w:r w:rsidRPr="000C0379">
        <w:rPr>
          <w:rFonts w:ascii="Times New Roman" w:hAnsi="Times New Roman"/>
          <w:b/>
          <w:sz w:val="28"/>
          <w:szCs w:val="28"/>
        </w:rPr>
        <w:t>характеристика</w:t>
      </w:r>
      <w:r w:rsidR="003B101F">
        <w:rPr>
          <w:rFonts w:ascii="Times New Roman" w:hAnsi="Times New Roman"/>
          <w:b/>
          <w:sz w:val="28"/>
          <w:szCs w:val="28"/>
        </w:rPr>
        <w:t xml:space="preserve"> </w:t>
      </w:r>
      <w:r w:rsidRPr="000C0379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0C0379" w:rsidRDefault="000C0379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D8C" w:rsidRPr="008B7D8C" w:rsidRDefault="00264CDE" w:rsidP="008B7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Актуальность темы исследования</w:t>
      </w:r>
      <w:r w:rsidRPr="00CE5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7D8C" w:rsidRPr="008B7D8C">
        <w:rPr>
          <w:rFonts w:ascii="Times New Roman" w:hAnsi="Times New Roman"/>
          <w:sz w:val="28"/>
          <w:szCs w:val="28"/>
        </w:rPr>
        <w:t xml:space="preserve">В последнее время, на фоне общей экономической стагнации и </w:t>
      </w:r>
      <w:r w:rsidR="00723D90">
        <w:rPr>
          <w:rFonts w:ascii="Times New Roman" w:hAnsi="Times New Roman"/>
          <w:sz w:val="28"/>
          <w:szCs w:val="28"/>
        </w:rPr>
        <w:t>значительного обострения</w:t>
      </w:r>
      <w:r w:rsidR="008B7D8C" w:rsidRPr="008B7D8C">
        <w:rPr>
          <w:rFonts w:ascii="Times New Roman" w:hAnsi="Times New Roman"/>
          <w:sz w:val="28"/>
          <w:szCs w:val="28"/>
        </w:rPr>
        <w:t xml:space="preserve"> отношений на междунаро</w:t>
      </w:r>
      <w:r w:rsidR="008B7D8C" w:rsidRPr="008B7D8C">
        <w:rPr>
          <w:rFonts w:ascii="Times New Roman" w:hAnsi="Times New Roman"/>
          <w:sz w:val="28"/>
          <w:szCs w:val="28"/>
        </w:rPr>
        <w:t>д</w:t>
      </w:r>
      <w:r w:rsidR="008B7D8C" w:rsidRPr="008B7D8C">
        <w:rPr>
          <w:rFonts w:ascii="Times New Roman" w:hAnsi="Times New Roman"/>
          <w:sz w:val="28"/>
          <w:szCs w:val="28"/>
        </w:rPr>
        <w:t xml:space="preserve">ном уровне, </w:t>
      </w:r>
      <w:r w:rsidR="00723D90">
        <w:rPr>
          <w:rFonts w:ascii="Times New Roman" w:hAnsi="Times New Roman"/>
          <w:sz w:val="28"/>
          <w:szCs w:val="28"/>
        </w:rPr>
        <w:t xml:space="preserve">в определенной мере снизилась </w:t>
      </w:r>
      <w:r w:rsidR="008C4DBE">
        <w:rPr>
          <w:rFonts w:ascii="Times New Roman" w:hAnsi="Times New Roman"/>
          <w:sz w:val="28"/>
          <w:szCs w:val="28"/>
        </w:rPr>
        <w:t>активность</w:t>
      </w:r>
      <w:r w:rsidR="008B7D8C" w:rsidRPr="008B7D8C">
        <w:rPr>
          <w:rFonts w:ascii="Times New Roman" w:hAnsi="Times New Roman"/>
          <w:sz w:val="28"/>
          <w:szCs w:val="28"/>
        </w:rPr>
        <w:t xml:space="preserve"> </w:t>
      </w:r>
      <w:r w:rsidR="00723D90">
        <w:rPr>
          <w:rFonts w:ascii="Times New Roman" w:hAnsi="Times New Roman"/>
          <w:sz w:val="28"/>
          <w:szCs w:val="28"/>
        </w:rPr>
        <w:t>дискуссий</w:t>
      </w:r>
      <w:r w:rsidR="008B7D8C" w:rsidRPr="008B7D8C">
        <w:rPr>
          <w:rFonts w:ascii="Times New Roman" w:hAnsi="Times New Roman"/>
          <w:sz w:val="28"/>
          <w:szCs w:val="28"/>
        </w:rPr>
        <w:t xml:space="preserve"> о проведении комплексной модернизации</w:t>
      </w:r>
      <w:r w:rsidR="008C4DBE">
        <w:rPr>
          <w:rFonts w:ascii="Times New Roman" w:hAnsi="Times New Roman"/>
          <w:sz w:val="28"/>
          <w:szCs w:val="28"/>
        </w:rPr>
        <w:t xml:space="preserve"> народного хозяйства</w:t>
      </w:r>
      <w:r w:rsidR="008B7D8C" w:rsidRPr="008B7D8C">
        <w:rPr>
          <w:rFonts w:ascii="Times New Roman" w:hAnsi="Times New Roman"/>
          <w:sz w:val="28"/>
          <w:szCs w:val="28"/>
        </w:rPr>
        <w:t xml:space="preserve">. </w:t>
      </w:r>
      <w:r w:rsidR="002E6A1C">
        <w:rPr>
          <w:rFonts w:ascii="Times New Roman" w:hAnsi="Times New Roman"/>
          <w:sz w:val="28"/>
          <w:szCs w:val="28"/>
        </w:rPr>
        <w:t>Однако</w:t>
      </w:r>
      <w:r w:rsidR="008B7D8C" w:rsidRPr="008B7D8C">
        <w:rPr>
          <w:rFonts w:ascii="Times New Roman" w:hAnsi="Times New Roman"/>
          <w:sz w:val="28"/>
          <w:szCs w:val="28"/>
        </w:rPr>
        <w:t>, усиливающееся экономическое давление со стороны запада</w:t>
      </w:r>
      <w:r w:rsidR="00660063">
        <w:rPr>
          <w:rFonts w:ascii="Times New Roman" w:hAnsi="Times New Roman"/>
          <w:sz w:val="28"/>
          <w:szCs w:val="28"/>
        </w:rPr>
        <w:t>, низкая конъюнктура нефтяного рынка</w:t>
      </w:r>
      <w:r w:rsidR="008B7D8C" w:rsidRPr="008B7D8C">
        <w:rPr>
          <w:rFonts w:ascii="Times New Roman" w:hAnsi="Times New Roman"/>
          <w:sz w:val="28"/>
          <w:szCs w:val="28"/>
        </w:rPr>
        <w:t xml:space="preserve"> и </w:t>
      </w:r>
      <w:r w:rsidR="00660063">
        <w:rPr>
          <w:rFonts w:ascii="Times New Roman" w:hAnsi="Times New Roman"/>
          <w:sz w:val="28"/>
          <w:szCs w:val="28"/>
        </w:rPr>
        <w:t>соответствующее воздействие на</w:t>
      </w:r>
      <w:r w:rsidR="008B7D8C" w:rsidRPr="008B7D8C">
        <w:rPr>
          <w:rFonts w:ascii="Times New Roman" w:hAnsi="Times New Roman"/>
          <w:sz w:val="28"/>
          <w:szCs w:val="28"/>
        </w:rPr>
        <w:t xml:space="preserve"> внутренн</w:t>
      </w:r>
      <w:r w:rsidR="00660063">
        <w:rPr>
          <w:rFonts w:ascii="Times New Roman" w:hAnsi="Times New Roman"/>
          <w:sz w:val="28"/>
          <w:szCs w:val="28"/>
        </w:rPr>
        <w:t>юю</w:t>
      </w:r>
      <w:r w:rsidR="008B7D8C" w:rsidRPr="008B7D8C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660063">
        <w:rPr>
          <w:rFonts w:ascii="Times New Roman" w:hAnsi="Times New Roman"/>
          <w:sz w:val="28"/>
          <w:szCs w:val="28"/>
        </w:rPr>
        <w:t>ую</w:t>
      </w:r>
      <w:r w:rsidR="008B7D8C" w:rsidRPr="008B7D8C">
        <w:rPr>
          <w:rFonts w:ascii="Times New Roman" w:hAnsi="Times New Roman"/>
          <w:sz w:val="28"/>
          <w:szCs w:val="28"/>
        </w:rPr>
        <w:t xml:space="preserve"> обстановк</w:t>
      </w:r>
      <w:r w:rsidR="00660063">
        <w:rPr>
          <w:rFonts w:ascii="Times New Roman" w:hAnsi="Times New Roman"/>
          <w:sz w:val="28"/>
          <w:szCs w:val="28"/>
        </w:rPr>
        <w:t>у</w:t>
      </w:r>
      <w:r w:rsidR="008B7D8C" w:rsidRPr="008B7D8C">
        <w:rPr>
          <w:rFonts w:ascii="Times New Roman" w:hAnsi="Times New Roman"/>
          <w:sz w:val="28"/>
          <w:szCs w:val="28"/>
        </w:rPr>
        <w:t xml:space="preserve"> </w:t>
      </w:r>
      <w:r w:rsidR="00660063">
        <w:rPr>
          <w:rFonts w:ascii="Times New Roman" w:hAnsi="Times New Roman"/>
          <w:sz w:val="28"/>
          <w:szCs w:val="28"/>
        </w:rPr>
        <w:t xml:space="preserve">резко </w:t>
      </w:r>
      <w:r w:rsidR="008B7D8C" w:rsidRPr="008B7D8C">
        <w:rPr>
          <w:rFonts w:ascii="Times New Roman" w:hAnsi="Times New Roman"/>
          <w:sz w:val="28"/>
          <w:szCs w:val="28"/>
        </w:rPr>
        <w:t xml:space="preserve">повышает значимость </w:t>
      </w:r>
      <w:r w:rsidR="00660063">
        <w:rPr>
          <w:rFonts w:ascii="Times New Roman" w:hAnsi="Times New Roman"/>
          <w:sz w:val="28"/>
          <w:szCs w:val="28"/>
        </w:rPr>
        <w:t xml:space="preserve">организационно-экономических механизмов </w:t>
      </w:r>
      <w:r w:rsidR="008B7D8C" w:rsidRPr="008B7D8C">
        <w:rPr>
          <w:rFonts w:ascii="Times New Roman" w:hAnsi="Times New Roman"/>
          <w:sz w:val="28"/>
          <w:szCs w:val="28"/>
        </w:rPr>
        <w:t xml:space="preserve">скорейшего </w:t>
      </w:r>
      <w:r w:rsidR="00660063">
        <w:rPr>
          <w:rFonts w:ascii="Times New Roman" w:hAnsi="Times New Roman"/>
          <w:sz w:val="28"/>
          <w:szCs w:val="28"/>
        </w:rPr>
        <w:t>восстановления положительных</w:t>
      </w:r>
      <w:r w:rsidR="008B7D8C" w:rsidRPr="008B7D8C">
        <w:rPr>
          <w:rFonts w:ascii="Times New Roman" w:hAnsi="Times New Roman"/>
          <w:sz w:val="28"/>
          <w:szCs w:val="28"/>
        </w:rPr>
        <w:t xml:space="preserve"> темпов экономическ</w:t>
      </w:r>
      <w:r w:rsidR="008B7D8C" w:rsidRPr="008B7D8C">
        <w:rPr>
          <w:rFonts w:ascii="Times New Roman" w:hAnsi="Times New Roman"/>
          <w:sz w:val="28"/>
          <w:szCs w:val="28"/>
        </w:rPr>
        <w:t>о</w:t>
      </w:r>
      <w:r w:rsidR="008B7D8C" w:rsidRPr="008B7D8C">
        <w:rPr>
          <w:rFonts w:ascii="Times New Roman" w:hAnsi="Times New Roman"/>
          <w:sz w:val="28"/>
          <w:szCs w:val="28"/>
        </w:rPr>
        <w:t xml:space="preserve">го роста. </w:t>
      </w:r>
      <w:r w:rsidR="00660063">
        <w:rPr>
          <w:rFonts w:ascii="Times New Roman" w:hAnsi="Times New Roman"/>
          <w:sz w:val="28"/>
          <w:szCs w:val="28"/>
        </w:rPr>
        <w:t>В научном сообществе усиливается аргументация того</w:t>
      </w:r>
      <w:r w:rsidR="008B7D8C" w:rsidRPr="008B7D8C">
        <w:rPr>
          <w:rFonts w:ascii="Times New Roman" w:hAnsi="Times New Roman"/>
          <w:sz w:val="28"/>
          <w:szCs w:val="28"/>
        </w:rPr>
        <w:t xml:space="preserve">, что одним из таких направлений </w:t>
      </w:r>
      <w:r w:rsidR="00660063">
        <w:rPr>
          <w:rFonts w:ascii="Times New Roman" w:hAnsi="Times New Roman"/>
          <w:sz w:val="28"/>
          <w:szCs w:val="28"/>
        </w:rPr>
        <w:t>должно</w:t>
      </w:r>
      <w:r w:rsidR="008B7D8C" w:rsidRPr="008B7D8C">
        <w:rPr>
          <w:rFonts w:ascii="Times New Roman" w:hAnsi="Times New Roman"/>
          <w:sz w:val="28"/>
          <w:szCs w:val="28"/>
        </w:rPr>
        <w:t xml:space="preserve"> стать проведение новой индустриализации, обеспечива</w:t>
      </w:r>
      <w:r w:rsidR="008B7D8C" w:rsidRPr="008B7D8C">
        <w:rPr>
          <w:rFonts w:ascii="Times New Roman" w:hAnsi="Times New Roman"/>
          <w:sz w:val="28"/>
          <w:szCs w:val="28"/>
        </w:rPr>
        <w:t>ю</w:t>
      </w:r>
      <w:r w:rsidR="008B7D8C" w:rsidRPr="008B7D8C">
        <w:rPr>
          <w:rFonts w:ascii="Times New Roman" w:hAnsi="Times New Roman"/>
          <w:sz w:val="28"/>
          <w:szCs w:val="28"/>
        </w:rPr>
        <w:t>щей переход отечественной экономики к новому технологическ</w:t>
      </w:r>
      <w:r w:rsidR="008B7D8C" w:rsidRPr="008B7D8C">
        <w:rPr>
          <w:rFonts w:ascii="Times New Roman" w:hAnsi="Times New Roman"/>
          <w:sz w:val="28"/>
          <w:szCs w:val="28"/>
        </w:rPr>
        <w:t>о</w:t>
      </w:r>
      <w:r w:rsidR="008B7D8C" w:rsidRPr="008B7D8C">
        <w:rPr>
          <w:rFonts w:ascii="Times New Roman" w:hAnsi="Times New Roman"/>
          <w:sz w:val="28"/>
          <w:szCs w:val="28"/>
        </w:rPr>
        <w:t xml:space="preserve">му укладу, </w:t>
      </w:r>
      <w:r w:rsidR="00660063">
        <w:rPr>
          <w:rFonts w:ascii="Times New Roman" w:hAnsi="Times New Roman"/>
          <w:sz w:val="28"/>
          <w:szCs w:val="28"/>
        </w:rPr>
        <w:t xml:space="preserve">с </w:t>
      </w:r>
      <w:r w:rsidR="008B7D8C" w:rsidRPr="008B7D8C">
        <w:rPr>
          <w:rFonts w:ascii="Times New Roman" w:hAnsi="Times New Roman"/>
          <w:sz w:val="28"/>
          <w:szCs w:val="28"/>
        </w:rPr>
        <w:t>которы</w:t>
      </w:r>
      <w:r w:rsidR="00660063">
        <w:rPr>
          <w:rFonts w:ascii="Times New Roman" w:hAnsi="Times New Roman"/>
          <w:sz w:val="28"/>
          <w:szCs w:val="28"/>
        </w:rPr>
        <w:t>м связывается новая форма</w:t>
      </w:r>
      <w:r w:rsidR="008B7D8C" w:rsidRPr="008B7D8C">
        <w:rPr>
          <w:rFonts w:ascii="Times New Roman" w:hAnsi="Times New Roman"/>
          <w:sz w:val="28"/>
          <w:szCs w:val="28"/>
        </w:rPr>
        <w:t xml:space="preserve"> экономического роста в мире.</w:t>
      </w:r>
      <w:r w:rsidR="00660063">
        <w:rPr>
          <w:rFonts w:ascii="Times New Roman" w:hAnsi="Times New Roman"/>
          <w:sz w:val="28"/>
          <w:szCs w:val="28"/>
        </w:rPr>
        <w:t xml:space="preserve"> </w:t>
      </w:r>
    </w:p>
    <w:p w:rsidR="008B7D8C" w:rsidRPr="008B7D8C" w:rsidRDefault="00B677F9" w:rsidP="008B7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</w:t>
      </w:r>
      <w:r w:rsidR="008B7D8C" w:rsidRPr="008B7D8C">
        <w:rPr>
          <w:rFonts w:ascii="Times New Roman" w:hAnsi="Times New Roman"/>
          <w:sz w:val="28"/>
          <w:szCs w:val="28"/>
        </w:rPr>
        <w:t xml:space="preserve">в сложившихся </w:t>
      </w:r>
      <w:r>
        <w:rPr>
          <w:rFonts w:ascii="Times New Roman" w:hAnsi="Times New Roman"/>
          <w:sz w:val="28"/>
          <w:szCs w:val="28"/>
        </w:rPr>
        <w:t xml:space="preserve">российских </w:t>
      </w:r>
      <w:r w:rsidR="008B7D8C" w:rsidRPr="008B7D8C">
        <w:rPr>
          <w:rFonts w:ascii="Times New Roman" w:hAnsi="Times New Roman"/>
          <w:sz w:val="28"/>
          <w:szCs w:val="28"/>
        </w:rPr>
        <w:t xml:space="preserve">условиях </w:t>
      </w:r>
      <w:r>
        <w:rPr>
          <w:rFonts w:ascii="Times New Roman" w:hAnsi="Times New Roman"/>
          <w:sz w:val="28"/>
          <w:szCs w:val="28"/>
        </w:rPr>
        <w:t>непосредственное</w:t>
      </w:r>
      <w:r w:rsidR="008B7D8C" w:rsidRPr="008B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</w:t>
      </w:r>
      <w:r w:rsidR="008B7D8C" w:rsidRPr="008B7D8C">
        <w:rPr>
          <w:rFonts w:ascii="Times New Roman" w:hAnsi="Times New Roman"/>
          <w:sz w:val="28"/>
          <w:szCs w:val="28"/>
        </w:rPr>
        <w:t xml:space="preserve"> успешного опыта экон</w:t>
      </w:r>
      <w:r w:rsidR="008B7D8C" w:rsidRPr="008B7D8C">
        <w:rPr>
          <w:rFonts w:ascii="Times New Roman" w:hAnsi="Times New Roman"/>
          <w:sz w:val="28"/>
          <w:szCs w:val="28"/>
        </w:rPr>
        <w:t>о</w:t>
      </w:r>
      <w:r w:rsidR="008B7D8C" w:rsidRPr="008B7D8C">
        <w:rPr>
          <w:rFonts w:ascii="Times New Roman" w:hAnsi="Times New Roman"/>
          <w:sz w:val="28"/>
          <w:szCs w:val="28"/>
        </w:rPr>
        <w:t xml:space="preserve">мической модернизации какой-либо из развитых стран невозможно. </w:t>
      </w:r>
      <w:r>
        <w:rPr>
          <w:rFonts w:ascii="Times New Roman" w:hAnsi="Times New Roman"/>
          <w:sz w:val="28"/>
          <w:szCs w:val="28"/>
        </w:rPr>
        <w:t>П</w:t>
      </w:r>
      <w:r w:rsidR="008B7D8C" w:rsidRPr="008B7D8C">
        <w:rPr>
          <w:rFonts w:ascii="Times New Roman" w:hAnsi="Times New Roman"/>
          <w:sz w:val="28"/>
          <w:szCs w:val="28"/>
        </w:rPr>
        <w:t xml:space="preserve">оэтому неоиндустриализация в </w:t>
      </w:r>
      <w:r>
        <w:rPr>
          <w:rFonts w:ascii="Times New Roman" w:hAnsi="Times New Roman"/>
          <w:sz w:val="28"/>
          <w:szCs w:val="28"/>
        </w:rPr>
        <w:t>нашей стране</w:t>
      </w:r>
      <w:r w:rsidR="008B7D8C" w:rsidRPr="008B7D8C">
        <w:rPr>
          <w:rFonts w:ascii="Times New Roman" w:hAnsi="Times New Roman"/>
          <w:sz w:val="28"/>
          <w:szCs w:val="28"/>
        </w:rPr>
        <w:t xml:space="preserve"> должна проходить в собственн</w:t>
      </w:r>
      <w:r>
        <w:rPr>
          <w:rFonts w:ascii="Times New Roman" w:hAnsi="Times New Roman"/>
          <w:sz w:val="28"/>
          <w:szCs w:val="28"/>
        </w:rPr>
        <w:t>ых специфических формах и</w:t>
      </w:r>
      <w:r w:rsidR="008B7D8C" w:rsidRPr="008B7D8C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ях</w:t>
      </w:r>
      <w:r w:rsidR="008B7D8C" w:rsidRPr="008B7D8C">
        <w:rPr>
          <w:rFonts w:ascii="Times New Roman" w:hAnsi="Times New Roman"/>
          <w:sz w:val="28"/>
          <w:szCs w:val="28"/>
        </w:rPr>
        <w:t xml:space="preserve">, максимально </w:t>
      </w:r>
      <w:r>
        <w:rPr>
          <w:rFonts w:ascii="Times New Roman" w:hAnsi="Times New Roman"/>
          <w:sz w:val="28"/>
          <w:szCs w:val="28"/>
        </w:rPr>
        <w:t>учитывающих как</w:t>
      </w:r>
      <w:r w:rsidR="008B7D8C" w:rsidRPr="008B7D8C">
        <w:rPr>
          <w:rFonts w:ascii="Times New Roman" w:hAnsi="Times New Roman"/>
          <w:sz w:val="28"/>
          <w:szCs w:val="28"/>
        </w:rPr>
        <w:t xml:space="preserve"> российскую специфику</w:t>
      </w:r>
      <w:r>
        <w:rPr>
          <w:rFonts w:ascii="Times New Roman" w:hAnsi="Times New Roman"/>
          <w:sz w:val="28"/>
          <w:szCs w:val="28"/>
        </w:rPr>
        <w:t>, так</w:t>
      </w:r>
      <w:r w:rsidR="008B7D8C" w:rsidRPr="008B7D8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="008B7D8C" w:rsidRPr="008B7D8C">
        <w:rPr>
          <w:rFonts w:ascii="Times New Roman" w:hAnsi="Times New Roman"/>
          <w:sz w:val="28"/>
          <w:szCs w:val="28"/>
        </w:rPr>
        <w:t>тенде</w:t>
      </w:r>
      <w:r w:rsidR="008B7D8C" w:rsidRPr="008B7D8C">
        <w:rPr>
          <w:rFonts w:ascii="Times New Roman" w:hAnsi="Times New Roman"/>
          <w:sz w:val="28"/>
          <w:szCs w:val="28"/>
        </w:rPr>
        <w:t>н</w:t>
      </w:r>
      <w:r w:rsidR="008B7D8C" w:rsidRPr="008B7D8C">
        <w:rPr>
          <w:rFonts w:ascii="Times New Roman" w:hAnsi="Times New Roman"/>
          <w:sz w:val="28"/>
          <w:szCs w:val="28"/>
        </w:rPr>
        <w:t>ции быстроразвивающегося мира.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1DC" w:rsidRDefault="00CB544B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контексте важную роль играют затратные компоненты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водства валового внутреннего продукта. Особенно в части использования </w:t>
      </w:r>
      <w:r w:rsidR="004F2A63">
        <w:rPr>
          <w:rFonts w:ascii="Times New Roman" w:hAnsi="Times New Roman"/>
          <w:sz w:val="28"/>
          <w:szCs w:val="28"/>
        </w:rPr>
        <w:t xml:space="preserve">ресурсов, отличающихся повышенным спросом на глобальных рынках. Соответственно, </w:t>
      </w:r>
      <w:r w:rsidR="007E4436" w:rsidRPr="007E4436">
        <w:rPr>
          <w:rFonts w:ascii="Times New Roman" w:hAnsi="Times New Roman"/>
          <w:sz w:val="28"/>
          <w:szCs w:val="28"/>
        </w:rPr>
        <w:t xml:space="preserve">на пути формирования новой технологической основы </w:t>
      </w:r>
      <w:r w:rsidR="004F2A63">
        <w:rPr>
          <w:rFonts w:ascii="Times New Roman" w:hAnsi="Times New Roman"/>
          <w:sz w:val="28"/>
          <w:szCs w:val="28"/>
        </w:rPr>
        <w:t xml:space="preserve">национальной </w:t>
      </w:r>
      <w:r w:rsidR="007E4436" w:rsidRPr="007E4436">
        <w:rPr>
          <w:rFonts w:ascii="Times New Roman" w:hAnsi="Times New Roman"/>
          <w:sz w:val="28"/>
          <w:szCs w:val="28"/>
        </w:rPr>
        <w:t xml:space="preserve">экономики и ее опережающего развития стоит проблема </w:t>
      </w:r>
      <w:r w:rsidR="004F2A63">
        <w:rPr>
          <w:rFonts w:ascii="Times New Roman" w:hAnsi="Times New Roman"/>
          <w:sz w:val="28"/>
          <w:szCs w:val="28"/>
        </w:rPr>
        <w:t>чрезмерно</w:t>
      </w:r>
      <w:r w:rsidR="004D7993">
        <w:rPr>
          <w:rFonts w:ascii="Times New Roman" w:hAnsi="Times New Roman"/>
          <w:sz w:val="28"/>
          <w:szCs w:val="28"/>
        </w:rPr>
        <w:t>го потребления</w:t>
      </w:r>
      <w:r w:rsidR="004F2A63">
        <w:rPr>
          <w:rFonts w:ascii="Times New Roman" w:hAnsi="Times New Roman"/>
          <w:sz w:val="28"/>
          <w:szCs w:val="28"/>
        </w:rPr>
        <w:t xml:space="preserve"> </w:t>
      </w:r>
      <w:r w:rsidR="007E4436" w:rsidRPr="007E4436">
        <w:rPr>
          <w:rFonts w:ascii="Times New Roman" w:hAnsi="Times New Roman"/>
          <w:sz w:val="28"/>
          <w:szCs w:val="28"/>
        </w:rPr>
        <w:t>энергосырь</w:t>
      </w:r>
      <w:r w:rsidR="007E4436" w:rsidRPr="007E4436">
        <w:rPr>
          <w:rFonts w:ascii="Times New Roman" w:hAnsi="Times New Roman"/>
          <w:sz w:val="28"/>
          <w:szCs w:val="28"/>
        </w:rPr>
        <w:t>е</w:t>
      </w:r>
      <w:r w:rsidR="007E4436" w:rsidRPr="007E4436">
        <w:rPr>
          <w:rFonts w:ascii="Times New Roman" w:hAnsi="Times New Roman"/>
          <w:sz w:val="28"/>
          <w:szCs w:val="28"/>
        </w:rPr>
        <w:t>в</w:t>
      </w:r>
      <w:r w:rsidR="004D7993">
        <w:rPr>
          <w:rFonts w:ascii="Times New Roman" w:hAnsi="Times New Roman"/>
          <w:sz w:val="28"/>
          <w:szCs w:val="28"/>
        </w:rPr>
        <w:t>ых</w:t>
      </w:r>
      <w:r w:rsidR="007E4436" w:rsidRPr="007E4436">
        <w:rPr>
          <w:rFonts w:ascii="Times New Roman" w:hAnsi="Times New Roman"/>
          <w:sz w:val="28"/>
          <w:szCs w:val="28"/>
        </w:rPr>
        <w:t xml:space="preserve"> </w:t>
      </w:r>
      <w:r w:rsidR="004D7993">
        <w:rPr>
          <w:rFonts w:ascii="Times New Roman" w:hAnsi="Times New Roman"/>
          <w:sz w:val="28"/>
          <w:szCs w:val="28"/>
        </w:rPr>
        <w:t>ресурсов в</w:t>
      </w:r>
      <w:r w:rsidR="007E4436" w:rsidRPr="007E4436">
        <w:rPr>
          <w:rFonts w:ascii="Times New Roman" w:hAnsi="Times New Roman"/>
          <w:sz w:val="28"/>
          <w:szCs w:val="28"/>
        </w:rPr>
        <w:t xml:space="preserve"> хозяйственно</w:t>
      </w:r>
      <w:r w:rsidR="004D7993">
        <w:rPr>
          <w:rFonts w:ascii="Times New Roman" w:hAnsi="Times New Roman"/>
          <w:sz w:val="28"/>
          <w:szCs w:val="28"/>
        </w:rPr>
        <w:t>м</w:t>
      </w:r>
      <w:r w:rsidR="007E4436" w:rsidRPr="007E4436">
        <w:rPr>
          <w:rFonts w:ascii="Times New Roman" w:hAnsi="Times New Roman"/>
          <w:sz w:val="28"/>
          <w:szCs w:val="28"/>
        </w:rPr>
        <w:t xml:space="preserve"> комплекс</w:t>
      </w:r>
      <w:r w:rsidR="004D7993">
        <w:rPr>
          <w:rFonts w:ascii="Times New Roman" w:hAnsi="Times New Roman"/>
          <w:sz w:val="28"/>
          <w:szCs w:val="28"/>
        </w:rPr>
        <w:t>е</w:t>
      </w:r>
      <w:r w:rsidR="007E4436" w:rsidRPr="007E4436">
        <w:rPr>
          <w:rFonts w:ascii="Times New Roman" w:hAnsi="Times New Roman"/>
          <w:sz w:val="28"/>
          <w:szCs w:val="28"/>
        </w:rPr>
        <w:t xml:space="preserve"> страны</w:t>
      </w:r>
      <w:r w:rsidR="004D7993">
        <w:rPr>
          <w:rFonts w:ascii="Times New Roman" w:hAnsi="Times New Roman"/>
          <w:sz w:val="28"/>
          <w:szCs w:val="28"/>
        </w:rPr>
        <w:t>, поскольку</w:t>
      </w:r>
      <w:r w:rsidR="007E4436" w:rsidRPr="007E4436">
        <w:rPr>
          <w:rFonts w:ascii="Times New Roman" w:hAnsi="Times New Roman"/>
          <w:sz w:val="28"/>
          <w:szCs w:val="28"/>
        </w:rPr>
        <w:t xml:space="preserve"> переход к производствам шестого технологического уклада </w:t>
      </w:r>
      <w:r w:rsidR="004F2A63">
        <w:rPr>
          <w:rFonts w:ascii="Times New Roman" w:hAnsi="Times New Roman"/>
          <w:sz w:val="28"/>
          <w:szCs w:val="28"/>
        </w:rPr>
        <w:t>непосредс</w:t>
      </w:r>
      <w:r w:rsidR="004F2A63">
        <w:rPr>
          <w:rFonts w:ascii="Times New Roman" w:hAnsi="Times New Roman"/>
          <w:sz w:val="28"/>
          <w:szCs w:val="28"/>
        </w:rPr>
        <w:t>т</w:t>
      </w:r>
      <w:r w:rsidR="004F2A63">
        <w:rPr>
          <w:rFonts w:ascii="Times New Roman" w:hAnsi="Times New Roman"/>
          <w:sz w:val="28"/>
          <w:szCs w:val="28"/>
        </w:rPr>
        <w:t>венно связан с повышением</w:t>
      </w:r>
      <w:r w:rsidR="007E4436" w:rsidRPr="007E4436">
        <w:rPr>
          <w:rFonts w:ascii="Times New Roman" w:hAnsi="Times New Roman"/>
          <w:sz w:val="28"/>
          <w:szCs w:val="28"/>
        </w:rPr>
        <w:t xml:space="preserve"> эффективности использования ресурсов и снижени</w:t>
      </w:r>
      <w:r w:rsidR="004F2A63">
        <w:rPr>
          <w:rFonts w:ascii="Times New Roman" w:hAnsi="Times New Roman"/>
          <w:sz w:val="28"/>
          <w:szCs w:val="28"/>
        </w:rPr>
        <w:t>ем</w:t>
      </w:r>
      <w:r w:rsidR="007E4436" w:rsidRPr="007E4436">
        <w:rPr>
          <w:rFonts w:ascii="Times New Roman" w:hAnsi="Times New Roman"/>
          <w:sz w:val="28"/>
          <w:szCs w:val="28"/>
        </w:rPr>
        <w:t xml:space="preserve"> энергоемкости выпуска товаров</w:t>
      </w:r>
      <w:r w:rsidR="004F2A63">
        <w:rPr>
          <w:rFonts w:ascii="Times New Roman" w:hAnsi="Times New Roman"/>
          <w:sz w:val="28"/>
          <w:szCs w:val="28"/>
        </w:rPr>
        <w:t xml:space="preserve"> и оказания услуг</w:t>
      </w:r>
      <w:r w:rsidR="004D7993">
        <w:rPr>
          <w:rFonts w:ascii="Times New Roman" w:hAnsi="Times New Roman"/>
          <w:sz w:val="28"/>
          <w:szCs w:val="28"/>
        </w:rPr>
        <w:t xml:space="preserve">. Только при выполнении таких условий возможно </w:t>
      </w:r>
      <w:r w:rsidR="007E4436" w:rsidRPr="007E4436">
        <w:rPr>
          <w:rFonts w:ascii="Times New Roman" w:hAnsi="Times New Roman"/>
          <w:sz w:val="28"/>
          <w:szCs w:val="28"/>
        </w:rPr>
        <w:t>снижени</w:t>
      </w:r>
      <w:r w:rsidR="004D7993">
        <w:rPr>
          <w:rFonts w:ascii="Times New Roman" w:hAnsi="Times New Roman"/>
          <w:sz w:val="28"/>
          <w:szCs w:val="28"/>
        </w:rPr>
        <w:t>е</w:t>
      </w:r>
      <w:r w:rsidR="007E4436" w:rsidRPr="007E4436">
        <w:rPr>
          <w:rFonts w:ascii="Times New Roman" w:hAnsi="Times New Roman"/>
          <w:sz w:val="28"/>
          <w:szCs w:val="28"/>
        </w:rPr>
        <w:t xml:space="preserve"> производственных издержек и рост конкурент</w:t>
      </w:r>
      <w:r w:rsidR="007E4436" w:rsidRPr="007E4436">
        <w:rPr>
          <w:rFonts w:ascii="Times New Roman" w:hAnsi="Times New Roman"/>
          <w:sz w:val="28"/>
          <w:szCs w:val="28"/>
        </w:rPr>
        <w:t>о</w:t>
      </w:r>
      <w:r w:rsidR="007E4436" w:rsidRPr="007E4436">
        <w:rPr>
          <w:rFonts w:ascii="Times New Roman" w:hAnsi="Times New Roman"/>
          <w:sz w:val="28"/>
          <w:szCs w:val="28"/>
        </w:rPr>
        <w:t>способности товаров</w:t>
      </w:r>
      <w:r w:rsidR="00D541DC">
        <w:rPr>
          <w:rFonts w:ascii="Times New Roman" w:hAnsi="Times New Roman"/>
          <w:sz w:val="28"/>
          <w:szCs w:val="28"/>
        </w:rPr>
        <w:t xml:space="preserve"> и услуг</w:t>
      </w:r>
      <w:r w:rsidR="007E4436" w:rsidRPr="007E4436">
        <w:rPr>
          <w:rFonts w:ascii="Times New Roman" w:hAnsi="Times New Roman"/>
          <w:sz w:val="28"/>
          <w:szCs w:val="28"/>
        </w:rPr>
        <w:t xml:space="preserve"> как на внутреннем, так и на внешнем рынках. </w:t>
      </w:r>
    </w:p>
    <w:p w:rsidR="007E4436" w:rsidRDefault="007E4436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36">
        <w:rPr>
          <w:rFonts w:ascii="Times New Roman" w:hAnsi="Times New Roman"/>
          <w:sz w:val="28"/>
          <w:szCs w:val="28"/>
        </w:rPr>
        <w:t xml:space="preserve">Следовательно, одним из </w:t>
      </w:r>
      <w:r w:rsidR="00D541DC">
        <w:rPr>
          <w:rFonts w:ascii="Times New Roman" w:hAnsi="Times New Roman"/>
          <w:sz w:val="28"/>
          <w:szCs w:val="28"/>
        </w:rPr>
        <w:t xml:space="preserve">необходимых </w:t>
      </w:r>
      <w:r w:rsidRPr="007E4436">
        <w:rPr>
          <w:rFonts w:ascii="Times New Roman" w:hAnsi="Times New Roman"/>
          <w:sz w:val="28"/>
          <w:szCs w:val="28"/>
        </w:rPr>
        <w:t>условий проведения новой индус</w:t>
      </w:r>
      <w:r w:rsidRPr="007E4436">
        <w:rPr>
          <w:rFonts w:ascii="Times New Roman" w:hAnsi="Times New Roman"/>
          <w:sz w:val="28"/>
          <w:szCs w:val="28"/>
        </w:rPr>
        <w:t>т</w:t>
      </w:r>
      <w:r w:rsidRPr="007E4436">
        <w:rPr>
          <w:rFonts w:ascii="Times New Roman" w:hAnsi="Times New Roman"/>
          <w:sz w:val="28"/>
          <w:szCs w:val="28"/>
        </w:rPr>
        <w:t xml:space="preserve">риализации в России, соответствующей современным мировым тенденциям, является не только технико-технологическое развитие производств, но и </w:t>
      </w:r>
      <w:r w:rsidR="00D541DC">
        <w:rPr>
          <w:rFonts w:ascii="Times New Roman" w:hAnsi="Times New Roman"/>
          <w:sz w:val="28"/>
          <w:szCs w:val="28"/>
        </w:rPr>
        <w:t>реализация</w:t>
      </w:r>
      <w:r w:rsidRPr="007E4436">
        <w:rPr>
          <w:rFonts w:ascii="Times New Roman" w:hAnsi="Times New Roman"/>
          <w:sz w:val="28"/>
          <w:szCs w:val="28"/>
        </w:rPr>
        <w:t xml:space="preserve"> передовых подходов к энергосбережению.</w:t>
      </w:r>
      <w:r w:rsidR="00D541DC">
        <w:rPr>
          <w:rFonts w:ascii="Times New Roman" w:hAnsi="Times New Roman"/>
          <w:sz w:val="28"/>
          <w:szCs w:val="28"/>
        </w:rPr>
        <w:t xml:space="preserve"> </w:t>
      </w:r>
    </w:p>
    <w:p w:rsidR="00D541DC" w:rsidRDefault="00D541DC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вопросы, связанные с разработкой </w:t>
      </w:r>
      <w:r w:rsidR="00661504">
        <w:rPr>
          <w:rFonts w:ascii="Times New Roman" w:hAnsi="Times New Roman"/>
          <w:sz w:val="28"/>
          <w:szCs w:val="28"/>
        </w:rPr>
        <w:t xml:space="preserve">организационно-экономических и </w:t>
      </w:r>
      <w:r w:rsidRPr="00D541DC">
        <w:rPr>
          <w:rFonts w:ascii="Times New Roman" w:hAnsi="Times New Roman"/>
          <w:sz w:val="28"/>
          <w:szCs w:val="28"/>
        </w:rPr>
        <w:t>сервисны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541DC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ов</w:t>
      </w:r>
      <w:r w:rsidRPr="00D541DC">
        <w:rPr>
          <w:rFonts w:ascii="Times New Roman" w:hAnsi="Times New Roman"/>
          <w:sz w:val="28"/>
          <w:szCs w:val="28"/>
        </w:rPr>
        <w:t xml:space="preserve"> снижения энергоемкости российской промышле</w:t>
      </w:r>
      <w:r w:rsidRPr="00D541DC">
        <w:rPr>
          <w:rFonts w:ascii="Times New Roman" w:hAnsi="Times New Roman"/>
          <w:sz w:val="28"/>
          <w:szCs w:val="28"/>
        </w:rPr>
        <w:t>н</w:t>
      </w:r>
      <w:r w:rsidRPr="00D541DC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 xml:space="preserve">, являются актуальными как с теоретической, так и с практической точек зрения. </w:t>
      </w:r>
      <w:r w:rsidR="00661504">
        <w:rPr>
          <w:rFonts w:ascii="Times New Roman" w:hAnsi="Times New Roman"/>
          <w:sz w:val="28"/>
          <w:szCs w:val="28"/>
        </w:rPr>
        <w:t xml:space="preserve">Данная актуальность только усиливается современной политической напряженностью и обостряющейся конкуренцией на глобальных рынках.  </w:t>
      </w:r>
    </w:p>
    <w:p w:rsidR="00AC4440" w:rsidRPr="00FF0906" w:rsidRDefault="00264CDE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Степень изученности проблемы</w:t>
      </w:r>
      <w:r w:rsidRPr="001852E3">
        <w:rPr>
          <w:rFonts w:ascii="Times New Roman" w:hAnsi="Times New Roman"/>
          <w:sz w:val="28"/>
          <w:szCs w:val="28"/>
        </w:rPr>
        <w:t>.</w:t>
      </w:r>
      <w:r w:rsidRPr="00897363">
        <w:rPr>
          <w:rFonts w:ascii="Times New Roman" w:hAnsi="Times New Roman"/>
          <w:sz w:val="28"/>
          <w:szCs w:val="28"/>
        </w:rPr>
        <w:t xml:space="preserve"> </w:t>
      </w:r>
      <w:r w:rsidR="00AC4440">
        <w:rPr>
          <w:rFonts w:ascii="Times New Roman" w:hAnsi="Times New Roman"/>
          <w:sz w:val="28"/>
          <w:szCs w:val="28"/>
        </w:rPr>
        <w:t>Наиболее разработанными являются проблемы, связанные с изучением содержания и форм развития постиндустр</w:t>
      </w:r>
      <w:r w:rsidR="00AC4440">
        <w:rPr>
          <w:rFonts w:ascii="Times New Roman" w:hAnsi="Times New Roman"/>
          <w:sz w:val="28"/>
          <w:szCs w:val="28"/>
        </w:rPr>
        <w:t>и</w:t>
      </w:r>
      <w:r w:rsidR="00AC4440">
        <w:rPr>
          <w:rFonts w:ascii="Times New Roman" w:hAnsi="Times New Roman"/>
          <w:sz w:val="28"/>
          <w:szCs w:val="28"/>
        </w:rPr>
        <w:t xml:space="preserve">ального общества. Вместе с тем, в данном направлении активно изучаются вопросы новых сценариев общественного развития, </w:t>
      </w:r>
      <w:r w:rsidR="003F7541">
        <w:rPr>
          <w:rFonts w:ascii="Times New Roman" w:hAnsi="Times New Roman"/>
          <w:sz w:val="28"/>
          <w:szCs w:val="28"/>
        </w:rPr>
        <w:t>факторов становления</w:t>
      </w:r>
      <w:r w:rsidR="00FF0906">
        <w:rPr>
          <w:rFonts w:ascii="Times New Roman" w:hAnsi="Times New Roman"/>
          <w:sz w:val="28"/>
          <w:szCs w:val="28"/>
        </w:rPr>
        <w:t xml:space="preserve"> постиндустриального общества непосредственно для российских условий, </w:t>
      </w:r>
      <w:r w:rsidR="00AC4440">
        <w:rPr>
          <w:rFonts w:ascii="Times New Roman" w:hAnsi="Times New Roman"/>
          <w:sz w:val="28"/>
          <w:szCs w:val="28"/>
        </w:rPr>
        <w:t xml:space="preserve">чему </w:t>
      </w:r>
      <w:r w:rsidR="00AC4440" w:rsidRPr="00FF0906">
        <w:rPr>
          <w:rFonts w:ascii="Times New Roman" w:hAnsi="Times New Roman"/>
          <w:sz w:val="28"/>
          <w:szCs w:val="28"/>
        </w:rPr>
        <w:t xml:space="preserve">посвятили свои работы Амосов А., </w:t>
      </w:r>
      <w:r w:rsidR="002238D0" w:rsidRPr="00FF0906">
        <w:rPr>
          <w:rFonts w:ascii="Times New Roman" w:hAnsi="Times New Roman"/>
          <w:sz w:val="28"/>
          <w:szCs w:val="28"/>
        </w:rPr>
        <w:t xml:space="preserve">Белозерова С., Вечканов Г., </w:t>
      </w:r>
      <w:r w:rsidR="00D1323E">
        <w:rPr>
          <w:rFonts w:ascii="Times New Roman" w:hAnsi="Times New Roman"/>
          <w:sz w:val="28"/>
          <w:szCs w:val="28"/>
        </w:rPr>
        <w:t xml:space="preserve">Галазова С., </w:t>
      </w:r>
      <w:r w:rsidR="000D561A" w:rsidRPr="00FF0906">
        <w:rPr>
          <w:rFonts w:ascii="Times New Roman" w:hAnsi="Times New Roman"/>
          <w:sz w:val="28"/>
          <w:szCs w:val="28"/>
        </w:rPr>
        <w:t xml:space="preserve">Грандберг З., Губанов С., Гэлбрейт Дж., </w:t>
      </w:r>
      <w:r w:rsidR="004B1BD4" w:rsidRPr="00FF0906">
        <w:rPr>
          <w:rFonts w:ascii="Times New Roman" w:hAnsi="Times New Roman"/>
          <w:sz w:val="28"/>
          <w:szCs w:val="28"/>
        </w:rPr>
        <w:t xml:space="preserve">Душкова Н., </w:t>
      </w:r>
      <w:r w:rsidR="0053033D" w:rsidRPr="00FF0906">
        <w:rPr>
          <w:rFonts w:ascii="Times New Roman" w:hAnsi="Times New Roman"/>
          <w:sz w:val="28"/>
          <w:szCs w:val="28"/>
        </w:rPr>
        <w:t xml:space="preserve">Иноземцев В., </w:t>
      </w:r>
      <w:r w:rsidR="00994DF1" w:rsidRPr="00FF0906">
        <w:rPr>
          <w:rFonts w:ascii="Times New Roman" w:hAnsi="Times New Roman"/>
          <w:sz w:val="28"/>
          <w:szCs w:val="28"/>
        </w:rPr>
        <w:t xml:space="preserve">Королюк Е., </w:t>
      </w:r>
      <w:r w:rsidR="003F7541" w:rsidRPr="00FF0906">
        <w:rPr>
          <w:rFonts w:ascii="Times New Roman" w:hAnsi="Times New Roman"/>
          <w:sz w:val="28"/>
          <w:szCs w:val="28"/>
        </w:rPr>
        <w:t xml:space="preserve">Кривцова Е., </w:t>
      </w:r>
      <w:r w:rsidR="00994DF1" w:rsidRPr="00FF0906">
        <w:rPr>
          <w:rFonts w:ascii="Times New Roman" w:hAnsi="Times New Roman"/>
          <w:sz w:val="28"/>
          <w:szCs w:val="28"/>
        </w:rPr>
        <w:t xml:space="preserve">Лякин А., Наймушин В., Нешитой А., Нуреев Р., Позднякова Е., </w:t>
      </w:r>
      <w:r w:rsidR="007E1D24" w:rsidRPr="00FF0906">
        <w:rPr>
          <w:rFonts w:ascii="Times New Roman" w:hAnsi="Times New Roman"/>
          <w:sz w:val="28"/>
          <w:szCs w:val="28"/>
        </w:rPr>
        <w:t xml:space="preserve">Попова С., Портер М., Сухарев О., </w:t>
      </w:r>
      <w:r w:rsidR="00D1323E" w:rsidRPr="002A216C">
        <w:rPr>
          <w:rFonts w:ascii="Times New Roman" w:hAnsi="Times New Roman"/>
          <w:sz w:val="28"/>
          <w:szCs w:val="28"/>
        </w:rPr>
        <w:t>Татуев А.</w:t>
      </w:r>
      <w:r w:rsidR="00D1323E">
        <w:rPr>
          <w:rFonts w:ascii="Times New Roman" w:hAnsi="Times New Roman"/>
          <w:sz w:val="28"/>
          <w:szCs w:val="28"/>
        </w:rPr>
        <w:t xml:space="preserve">, </w:t>
      </w:r>
      <w:r w:rsidR="007E1D24" w:rsidRPr="00FF0906">
        <w:rPr>
          <w:rFonts w:ascii="Times New Roman" w:hAnsi="Times New Roman"/>
          <w:sz w:val="28"/>
          <w:szCs w:val="28"/>
        </w:rPr>
        <w:t xml:space="preserve">Тоффлер Э., </w:t>
      </w:r>
      <w:r w:rsidR="003F7541" w:rsidRPr="00FF0906">
        <w:rPr>
          <w:rFonts w:ascii="Times New Roman" w:hAnsi="Times New Roman"/>
          <w:sz w:val="28"/>
          <w:szCs w:val="28"/>
        </w:rPr>
        <w:t xml:space="preserve">Черковец В., Шульгина Л. </w:t>
      </w:r>
      <w:r w:rsidR="00FF0906">
        <w:rPr>
          <w:rFonts w:ascii="Times New Roman" w:hAnsi="Times New Roman"/>
          <w:sz w:val="28"/>
          <w:szCs w:val="28"/>
        </w:rPr>
        <w:t xml:space="preserve">и др. </w:t>
      </w:r>
    </w:p>
    <w:p w:rsidR="00666F94" w:rsidRPr="00FF0906" w:rsidRDefault="00AC4440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Усиливаются исследования проблем </w:t>
      </w:r>
      <w:r w:rsidR="002238D0">
        <w:rPr>
          <w:rFonts w:ascii="Times New Roman" w:hAnsi="Times New Roman"/>
          <w:sz w:val="28"/>
          <w:szCs w:val="28"/>
        </w:rPr>
        <w:t xml:space="preserve">влияния энергетических ресурсов на эффективность национального производства, разработки и реализации энергосберегающих технологий, </w:t>
      </w:r>
      <w:r w:rsidR="0053033D">
        <w:rPr>
          <w:rFonts w:ascii="Times New Roman" w:hAnsi="Times New Roman"/>
          <w:sz w:val="28"/>
          <w:szCs w:val="28"/>
        </w:rPr>
        <w:t>формирования энергосервисных структур</w:t>
      </w:r>
      <w:r w:rsidR="00FF0906">
        <w:rPr>
          <w:rFonts w:ascii="Times New Roman" w:hAnsi="Times New Roman"/>
          <w:sz w:val="28"/>
          <w:szCs w:val="28"/>
        </w:rPr>
        <w:t xml:space="preserve">, роли энергосбережения в развитии конкурентоспособности, в контексте чего следует отметить работы следующих ученых </w:t>
      </w:r>
      <w:r w:rsidR="00FF0906" w:rsidRPr="00FF0906">
        <w:rPr>
          <w:rFonts w:ascii="Times New Roman" w:hAnsi="Times New Roman"/>
          <w:sz w:val="28"/>
          <w:szCs w:val="28"/>
        </w:rPr>
        <w:t xml:space="preserve">- </w:t>
      </w:r>
      <w:r w:rsidR="002238D0" w:rsidRPr="00FF0906">
        <w:rPr>
          <w:rFonts w:ascii="Times New Roman" w:hAnsi="Times New Roman"/>
          <w:sz w:val="28"/>
          <w:szCs w:val="28"/>
        </w:rPr>
        <w:t xml:space="preserve">Акаев А., Аппанова Ю., Волостнов Б., </w:t>
      </w:r>
      <w:r w:rsidR="000D561A" w:rsidRPr="00FF0906">
        <w:rPr>
          <w:rFonts w:ascii="Times New Roman" w:hAnsi="Times New Roman"/>
          <w:sz w:val="28"/>
          <w:szCs w:val="28"/>
        </w:rPr>
        <w:t xml:space="preserve">Глисин Ф., </w:t>
      </w:r>
      <w:r w:rsidR="004B1BD4" w:rsidRPr="00FF0906">
        <w:rPr>
          <w:rFonts w:ascii="Times New Roman" w:hAnsi="Times New Roman"/>
          <w:sz w:val="28"/>
          <w:szCs w:val="28"/>
        </w:rPr>
        <w:t xml:space="preserve">Давыдянц Д., </w:t>
      </w:r>
      <w:r w:rsidR="0053033D" w:rsidRPr="00FF0906">
        <w:rPr>
          <w:rFonts w:ascii="Times New Roman" w:hAnsi="Times New Roman"/>
          <w:sz w:val="28"/>
          <w:szCs w:val="28"/>
        </w:rPr>
        <w:t xml:space="preserve">Еншина Н., Ефремов В., </w:t>
      </w:r>
      <w:r w:rsidR="004B1BD4" w:rsidRPr="00FF0906">
        <w:rPr>
          <w:rFonts w:ascii="Times New Roman" w:hAnsi="Times New Roman"/>
          <w:sz w:val="28"/>
          <w:szCs w:val="28"/>
        </w:rPr>
        <w:t xml:space="preserve">Жидков В., </w:t>
      </w:r>
      <w:r w:rsidR="0053033D" w:rsidRPr="00FF0906">
        <w:rPr>
          <w:rFonts w:ascii="Times New Roman" w:hAnsi="Times New Roman"/>
          <w:sz w:val="28"/>
          <w:szCs w:val="28"/>
        </w:rPr>
        <w:t xml:space="preserve">Захаров О., </w:t>
      </w:r>
      <w:r w:rsidR="003F7541" w:rsidRPr="00FF0906">
        <w:rPr>
          <w:rFonts w:ascii="Times New Roman" w:hAnsi="Times New Roman"/>
          <w:sz w:val="28"/>
          <w:szCs w:val="28"/>
        </w:rPr>
        <w:t xml:space="preserve">Земенков Ю., </w:t>
      </w:r>
      <w:r w:rsidR="004B1BD4" w:rsidRPr="00FF0906">
        <w:rPr>
          <w:rFonts w:ascii="Times New Roman" w:hAnsi="Times New Roman"/>
          <w:sz w:val="28"/>
          <w:szCs w:val="28"/>
        </w:rPr>
        <w:t xml:space="preserve">Зубова Л., Ильин А., </w:t>
      </w:r>
      <w:r w:rsidR="00994DF1" w:rsidRPr="00FF0906">
        <w:rPr>
          <w:rFonts w:ascii="Times New Roman" w:hAnsi="Times New Roman"/>
          <w:sz w:val="28"/>
          <w:szCs w:val="28"/>
        </w:rPr>
        <w:t xml:space="preserve">Кавешников Н., Кадырова Д., </w:t>
      </w:r>
      <w:r w:rsidR="002238D0" w:rsidRPr="00FF0906">
        <w:rPr>
          <w:rFonts w:ascii="Times New Roman" w:hAnsi="Times New Roman"/>
          <w:sz w:val="28"/>
          <w:szCs w:val="28"/>
        </w:rPr>
        <w:t xml:space="preserve">Косарев В., </w:t>
      </w:r>
      <w:r w:rsidR="0053033D" w:rsidRPr="00FF0906">
        <w:rPr>
          <w:rFonts w:ascii="Times New Roman" w:hAnsi="Times New Roman"/>
          <w:sz w:val="28"/>
          <w:szCs w:val="28"/>
        </w:rPr>
        <w:t xml:space="preserve">Маркман Г., Нестерова Р., </w:t>
      </w:r>
      <w:r w:rsidR="007E1D24" w:rsidRPr="00FF0906">
        <w:rPr>
          <w:rFonts w:ascii="Times New Roman" w:hAnsi="Times New Roman"/>
          <w:sz w:val="28"/>
          <w:szCs w:val="28"/>
        </w:rPr>
        <w:t xml:space="preserve">Поликарпов В., </w:t>
      </w:r>
      <w:r w:rsidR="002238D0" w:rsidRPr="00FF0906">
        <w:rPr>
          <w:rFonts w:ascii="Times New Roman" w:hAnsi="Times New Roman"/>
          <w:sz w:val="28"/>
          <w:szCs w:val="28"/>
        </w:rPr>
        <w:t>Поляков В.,</w:t>
      </w:r>
      <w:r w:rsidR="000D561A" w:rsidRPr="00FF0906">
        <w:rPr>
          <w:rFonts w:ascii="Times New Roman" w:hAnsi="Times New Roman"/>
          <w:sz w:val="28"/>
          <w:szCs w:val="28"/>
        </w:rPr>
        <w:t xml:space="preserve"> Прохоров В., </w:t>
      </w:r>
      <w:r w:rsidR="007E1D24" w:rsidRPr="00FF0906">
        <w:rPr>
          <w:rFonts w:ascii="Times New Roman" w:hAnsi="Times New Roman"/>
          <w:sz w:val="28"/>
          <w:szCs w:val="28"/>
        </w:rPr>
        <w:t xml:space="preserve">Семенов В., Сергеев Н., Сиваев С., Симония Н., Стариннов С., Тырылгин И., </w:t>
      </w:r>
      <w:r w:rsidR="003F7541" w:rsidRPr="00FF0906">
        <w:rPr>
          <w:rFonts w:ascii="Times New Roman" w:hAnsi="Times New Roman"/>
          <w:sz w:val="28"/>
          <w:szCs w:val="28"/>
        </w:rPr>
        <w:t xml:space="preserve">Хуснутдинова О., Чуксина Е., Цыбатов В., Щелоков Я., </w:t>
      </w:r>
      <w:r w:rsidR="007E1D24" w:rsidRPr="00FF0906">
        <w:rPr>
          <w:rFonts w:ascii="Times New Roman" w:hAnsi="Times New Roman"/>
          <w:sz w:val="28"/>
          <w:szCs w:val="28"/>
        </w:rPr>
        <w:t>Шпилевой В.</w:t>
      </w:r>
      <w:r w:rsidR="00FF0906">
        <w:rPr>
          <w:rFonts w:ascii="Times New Roman" w:hAnsi="Times New Roman"/>
          <w:sz w:val="28"/>
          <w:szCs w:val="28"/>
        </w:rPr>
        <w:t xml:space="preserve"> и др. </w:t>
      </w:r>
    </w:p>
    <w:p w:rsidR="000D561A" w:rsidRPr="00FF0906" w:rsidRDefault="002238D0" w:rsidP="00D12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исследованиям в области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мышленной политики, в том числе в части государст</w:t>
      </w:r>
      <w:r w:rsidR="000D56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енно-частного партнерства</w:t>
      </w:r>
      <w:r w:rsidR="004B1B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институциональных </w:t>
      </w:r>
      <w:r w:rsidR="000D561A">
        <w:rPr>
          <w:rFonts w:ascii="Times New Roman" w:hAnsi="Times New Roman"/>
          <w:sz w:val="28"/>
          <w:szCs w:val="28"/>
        </w:rPr>
        <w:t>преобразований</w:t>
      </w:r>
      <w:r w:rsidR="004B1BD4">
        <w:rPr>
          <w:rFonts w:ascii="Times New Roman" w:hAnsi="Times New Roman"/>
          <w:sz w:val="28"/>
          <w:szCs w:val="28"/>
        </w:rPr>
        <w:t>, инвестиционных и инн</w:t>
      </w:r>
      <w:r w:rsidR="00994DF1">
        <w:rPr>
          <w:rFonts w:ascii="Times New Roman" w:hAnsi="Times New Roman"/>
          <w:sz w:val="28"/>
          <w:szCs w:val="28"/>
        </w:rPr>
        <w:t xml:space="preserve">овационных </w:t>
      </w:r>
      <w:r w:rsidR="00994DF1" w:rsidRPr="00FF0906">
        <w:rPr>
          <w:rFonts w:ascii="Times New Roman" w:hAnsi="Times New Roman"/>
          <w:sz w:val="28"/>
          <w:szCs w:val="28"/>
        </w:rPr>
        <w:t xml:space="preserve">процессов, зарубежного опыта </w:t>
      </w:r>
      <w:r w:rsidR="00FF0906" w:rsidRPr="00FF0906">
        <w:rPr>
          <w:rFonts w:ascii="Times New Roman" w:hAnsi="Times New Roman"/>
          <w:sz w:val="28"/>
          <w:szCs w:val="28"/>
        </w:rPr>
        <w:t>(</w:t>
      </w:r>
      <w:r w:rsidR="000D561A" w:rsidRPr="00FF0906">
        <w:rPr>
          <w:rFonts w:ascii="Times New Roman" w:hAnsi="Times New Roman"/>
          <w:sz w:val="28"/>
          <w:szCs w:val="28"/>
        </w:rPr>
        <w:t xml:space="preserve">Гассий В., Глазьев С., Горяинова Л., </w:t>
      </w:r>
      <w:r w:rsidR="004B1BD4" w:rsidRPr="00FF0906">
        <w:rPr>
          <w:rFonts w:ascii="Times New Roman" w:hAnsi="Times New Roman"/>
          <w:sz w:val="28"/>
          <w:szCs w:val="28"/>
        </w:rPr>
        <w:t xml:space="preserve">Дежина И., </w:t>
      </w:r>
      <w:r w:rsidR="00FF0906" w:rsidRPr="002A216C">
        <w:rPr>
          <w:rFonts w:ascii="Times New Roman" w:hAnsi="Times New Roman"/>
          <w:sz w:val="28"/>
          <w:szCs w:val="28"/>
        </w:rPr>
        <w:t>Еделев Д.</w:t>
      </w:r>
      <w:r w:rsidR="00FF0906">
        <w:rPr>
          <w:rFonts w:ascii="Times New Roman" w:hAnsi="Times New Roman"/>
          <w:sz w:val="28"/>
          <w:szCs w:val="28"/>
        </w:rPr>
        <w:t xml:space="preserve">, </w:t>
      </w:r>
      <w:r w:rsidR="0053033D" w:rsidRPr="00FF0906">
        <w:rPr>
          <w:rFonts w:ascii="Times New Roman" w:hAnsi="Times New Roman"/>
          <w:sz w:val="28"/>
          <w:szCs w:val="28"/>
        </w:rPr>
        <w:t xml:space="preserve">Исрафилов Н., </w:t>
      </w:r>
      <w:r w:rsidR="004B1BD4" w:rsidRPr="00FF0906">
        <w:rPr>
          <w:rFonts w:ascii="Times New Roman" w:hAnsi="Times New Roman"/>
          <w:sz w:val="28"/>
          <w:szCs w:val="28"/>
        </w:rPr>
        <w:t xml:space="preserve">Киселева В., </w:t>
      </w:r>
      <w:r w:rsidR="00994DF1" w:rsidRPr="00FF0906">
        <w:rPr>
          <w:rFonts w:ascii="Times New Roman" w:hAnsi="Times New Roman"/>
          <w:sz w:val="28"/>
          <w:szCs w:val="28"/>
        </w:rPr>
        <w:t xml:space="preserve">Кобец Е., Колбина Л., Кузнецов И., Лукьянова К., Мамуто А., Матвеев Д., Мерзлов И., </w:t>
      </w:r>
      <w:r w:rsidR="00D1323E">
        <w:rPr>
          <w:rFonts w:ascii="Times New Roman" w:hAnsi="Times New Roman"/>
          <w:sz w:val="28"/>
          <w:szCs w:val="28"/>
        </w:rPr>
        <w:t xml:space="preserve">Савватеев Е., </w:t>
      </w:r>
      <w:r w:rsidR="007E1D24" w:rsidRPr="00FF0906">
        <w:rPr>
          <w:rFonts w:ascii="Times New Roman" w:hAnsi="Times New Roman"/>
          <w:sz w:val="28"/>
          <w:szCs w:val="28"/>
        </w:rPr>
        <w:t xml:space="preserve">Селезнев А., </w:t>
      </w:r>
      <w:r w:rsidR="003F7541" w:rsidRPr="00FF0906">
        <w:rPr>
          <w:rFonts w:ascii="Times New Roman" w:hAnsi="Times New Roman"/>
          <w:sz w:val="28"/>
          <w:szCs w:val="28"/>
        </w:rPr>
        <w:t xml:space="preserve">Хмель В., </w:t>
      </w:r>
      <w:r w:rsidR="007E1D24" w:rsidRPr="00FF0906">
        <w:rPr>
          <w:rFonts w:ascii="Times New Roman" w:hAnsi="Times New Roman"/>
          <w:sz w:val="28"/>
          <w:szCs w:val="28"/>
        </w:rPr>
        <w:t xml:space="preserve">Чередниченко Л., </w:t>
      </w:r>
      <w:r w:rsidR="003F7541" w:rsidRPr="00FF0906">
        <w:rPr>
          <w:rFonts w:ascii="Times New Roman" w:hAnsi="Times New Roman"/>
          <w:sz w:val="28"/>
          <w:szCs w:val="28"/>
        </w:rPr>
        <w:t>Чернов С.</w:t>
      </w:r>
      <w:r w:rsidR="00FF0906" w:rsidRPr="00FF0906">
        <w:rPr>
          <w:rFonts w:ascii="Times New Roman" w:hAnsi="Times New Roman"/>
          <w:sz w:val="28"/>
          <w:szCs w:val="28"/>
        </w:rPr>
        <w:t xml:space="preserve"> и др.). </w:t>
      </w:r>
    </w:p>
    <w:p w:rsidR="00D1323E" w:rsidRDefault="00D1323E" w:rsidP="00D13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также отметить коллективные исследования в области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топливно-энергетическими комплексами, формирования и реализации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политики в рамках научных разработок, осуществляемых как </w:t>
      </w:r>
      <w:r>
        <w:rPr>
          <w:rFonts w:ascii="Times New Roman" w:hAnsi="Times New Roman"/>
          <w:bCs/>
          <w:sz w:val="28"/>
          <w:szCs w:val="28"/>
        </w:rPr>
        <w:t xml:space="preserve">под эгидой международных структур - Организации объединенных наций, Европейского союза, так и отдельных научных коллективов - </w:t>
      </w:r>
      <w:r w:rsidRPr="00FC12B6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FC12B6">
        <w:rPr>
          <w:rFonts w:ascii="Times New Roman" w:hAnsi="Times New Roman"/>
          <w:sz w:val="28"/>
          <w:szCs w:val="28"/>
        </w:rPr>
        <w:t xml:space="preserve"> промышленных и инвестиционных исследований </w:t>
      </w:r>
      <w:r w:rsidRPr="002A325E">
        <w:rPr>
          <w:rFonts w:ascii="Times New Roman" w:hAnsi="Times New Roman"/>
          <w:bCs/>
          <w:sz w:val="28"/>
          <w:szCs w:val="28"/>
        </w:rPr>
        <w:t>Института мировой экономики и междунаро</w:t>
      </w:r>
      <w:r w:rsidRPr="002A325E">
        <w:rPr>
          <w:rFonts w:ascii="Times New Roman" w:hAnsi="Times New Roman"/>
          <w:bCs/>
          <w:sz w:val="28"/>
          <w:szCs w:val="28"/>
        </w:rPr>
        <w:t>д</w:t>
      </w:r>
      <w:r w:rsidRPr="002A325E">
        <w:rPr>
          <w:rFonts w:ascii="Times New Roman" w:hAnsi="Times New Roman"/>
          <w:bCs/>
          <w:sz w:val="28"/>
          <w:szCs w:val="28"/>
        </w:rPr>
        <w:t>ных отношений</w:t>
      </w:r>
      <w:r w:rsidRPr="00FC12B6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2417">
        <w:rPr>
          <w:rFonts w:ascii="Times New Roman" w:hAnsi="Times New Roman"/>
          <w:sz w:val="28"/>
          <w:szCs w:val="28"/>
        </w:rPr>
        <w:t>Института экономики и организации промышленного производства Сибирского отделения РАН</w:t>
      </w:r>
      <w:r>
        <w:rPr>
          <w:rFonts w:ascii="Times New Roman" w:hAnsi="Times New Roman"/>
          <w:sz w:val="28"/>
          <w:szCs w:val="28"/>
        </w:rPr>
        <w:t xml:space="preserve"> и др. </w:t>
      </w:r>
    </w:p>
    <w:p w:rsidR="000D561A" w:rsidRPr="00FF0906" w:rsidRDefault="00D1323E" w:rsidP="00D12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проблематике экономических и </w:t>
      </w:r>
      <w:r w:rsidRPr="00D541DC">
        <w:rPr>
          <w:rFonts w:ascii="Times New Roman" w:hAnsi="Times New Roman"/>
          <w:sz w:val="28"/>
          <w:szCs w:val="28"/>
        </w:rPr>
        <w:t>сервисны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541DC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ов</w:t>
      </w:r>
      <w:r w:rsidRPr="00D541DC">
        <w:rPr>
          <w:rFonts w:ascii="Times New Roman" w:hAnsi="Times New Roman"/>
          <w:sz w:val="28"/>
          <w:szCs w:val="28"/>
        </w:rPr>
        <w:t xml:space="preserve"> снижения энергоемкости российской промышле</w:t>
      </w:r>
      <w:r w:rsidRPr="00D541DC">
        <w:rPr>
          <w:rFonts w:ascii="Times New Roman" w:hAnsi="Times New Roman"/>
          <w:sz w:val="28"/>
          <w:szCs w:val="28"/>
        </w:rPr>
        <w:t>н</w:t>
      </w:r>
      <w:r w:rsidRPr="00D541DC">
        <w:rPr>
          <w:rFonts w:ascii="Times New Roman" w:hAnsi="Times New Roman"/>
          <w:sz w:val="28"/>
          <w:szCs w:val="28"/>
        </w:rPr>
        <w:t>ности</w:t>
      </w:r>
      <w:r w:rsidR="00984650">
        <w:rPr>
          <w:rFonts w:ascii="Times New Roman" w:hAnsi="Times New Roman"/>
          <w:sz w:val="28"/>
          <w:szCs w:val="28"/>
        </w:rPr>
        <w:t xml:space="preserve">, особенно </w:t>
      </w:r>
      <w:r w:rsidR="001E0819">
        <w:rPr>
          <w:rFonts w:ascii="Times New Roman" w:hAnsi="Times New Roman"/>
          <w:sz w:val="28"/>
          <w:szCs w:val="28"/>
        </w:rPr>
        <w:t>с позиций</w:t>
      </w:r>
      <w:r w:rsidR="00984650">
        <w:rPr>
          <w:rFonts w:ascii="Times New Roman" w:hAnsi="Times New Roman"/>
          <w:sz w:val="28"/>
          <w:szCs w:val="28"/>
        </w:rPr>
        <w:t xml:space="preserve"> формирования э</w:t>
      </w:r>
      <w:r w:rsidR="00984650" w:rsidRPr="00984650">
        <w:rPr>
          <w:rFonts w:ascii="Times New Roman" w:hAnsi="Times New Roman"/>
          <w:sz w:val="28"/>
          <w:szCs w:val="28"/>
        </w:rPr>
        <w:t>нергосервисны</w:t>
      </w:r>
      <w:r w:rsidR="00984650">
        <w:rPr>
          <w:rFonts w:ascii="Times New Roman" w:hAnsi="Times New Roman"/>
          <w:sz w:val="28"/>
          <w:szCs w:val="28"/>
        </w:rPr>
        <w:t>х</w:t>
      </w:r>
      <w:r w:rsidR="00984650" w:rsidRPr="00984650">
        <w:rPr>
          <w:rFonts w:ascii="Times New Roman" w:hAnsi="Times New Roman"/>
          <w:sz w:val="28"/>
          <w:szCs w:val="28"/>
        </w:rPr>
        <w:t xml:space="preserve"> кластер</w:t>
      </w:r>
      <w:r w:rsidR="00984650">
        <w:rPr>
          <w:rFonts w:ascii="Times New Roman" w:hAnsi="Times New Roman"/>
          <w:sz w:val="28"/>
          <w:szCs w:val="28"/>
        </w:rPr>
        <w:t xml:space="preserve">ов, не уделяется пока должного внимания. </w:t>
      </w:r>
      <w:r>
        <w:rPr>
          <w:rFonts w:ascii="Times New Roman" w:hAnsi="Times New Roman"/>
          <w:sz w:val="28"/>
          <w:szCs w:val="28"/>
        </w:rPr>
        <w:t>При этом, в</w:t>
      </w:r>
      <w:r w:rsidR="000D561A">
        <w:rPr>
          <w:rFonts w:ascii="Times New Roman" w:hAnsi="Times New Roman"/>
          <w:sz w:val="28"/>
          <w:szCs w:val="28"/>
        </w:rPr>
        <w:t>опросы кластеризации чаще всего поднимаются в конте</w:t>
      </w:r>
      <w:r w:rsidR="000D561A">
        <w:rPr>
          <w:rFonts w:ascii="Times New Roman" w:hAnsi="Times New Roman"/>
          <w:sz w:val="28"/>
          <w:szCs w:val="28"/>
        </w:rPr>
        <w:t>к</w:t>
      </w:r>
      <w:r w:rsidR="000D561A">
        <w:rPr>
          <w:rFonts w:ascii="Times New Roman" w:hAnsi="Times New Roman"/>
          <w:sz w:val="28"/>
          <w:szCs w:val="28"/>
        </w:rPr>
        <w:t xml:space="preserve">сте проблем </w:t>
      </w:r>
      <w:r w:rsidR="000D561A" w:rsidRPr="00FF0906">
        <w:rPr>
          <w:rFonts w:ascii="Times New Roman" w:hAnsi="Times New Roman"/>
          <w:sz w:val="28"/>
          <w:szCs w:val="28"/>
        </w:rPr>
        <w:t xml:space="preserve">регионального и отраслевого развития (Горемыкин В., </w:t>
      </w:r>
      <w:r w:rsidR="007E1D24" w:rsidRPr="00FF0906">
        <w:rPr>
          <w:rFonts w:ascii="Times New Roman" w:hAnsi="Times New Roman"/>
          <w:sz w:val="28"/>
          <w:szCs w:val="28"/>
        </w:rPr>
        <w:t xml:space="preserve">Жаутикова С., Куценко Е., Сафронова С., </w:t>
      </w:r>
      <w:r w:rsidR="000D561A" w:rsidRPr="00FF0906">
        <w:rPr>
          <w:rFonts w:ascii="Times New Roman" w:hAnsi="Times New Roman"/>
          <w:sz w:val="28"/>
          <w:szCs w:val="28"/>
        </w:rPr>
        <w:t xml:space="preserve">Соколов С., </w:t>
      </w:r>
      <w:r w:rsidR="007E1D24" w:rsidRPr="00FF0906">
        <w:rPr>
          <w:rFonts w:ascii="Times New Roman" w:hAnsi="Times New Roman"/>
          <w:sz w:val="28"/>
          <w:szCs w:val="28"/>
        </w:rPr>
        <w:t>Стеблякова Л.</w:t>
      </w:r>
      <w:r w:rsidR="00FF0906" w:rsidRPr="00FF0906">
        <w:rPr>
          <w:rFonts w:ascii="Times New Roman" w:hAnsi="Times New Roman"/>
          <w:sz w:val="28"/>
          <w:szCs w:val="28"/>
        </w:rPr>
        <w:t xml:space="preserve"> и др. )</w:t>
      </w:r>
      <w:r w:rsidR="002F7BFF">
        <w:rPr>
          <w:rFonts w:ascii="Times New Roman" w:hAnsi="Times New Roman"/>
          <w:sz w:val="28"/>
          <w:szCs w:val="28"/>
        </w:rPr>
        <w:t xml:space="preserve">, чего </w:t>
      </w:r>
      <w:r w:rsidR="001E0819">
        <w:rPr>
          <w:rFonts w:ascii="Times New Roman" w:hAnsi="Times New Roman"/>
          <w:sz w:val="28"/>
          <w:szCs w:val="28"/>
        </w:rPr>
        <w:t>для эффективного решения</w:t>
      </w:r>
      <w:r w:rsidR="002F7BFF">
        <w:rPr>
          <w:rFonts w:ascii="Times New Roman" w:hAnsi="Times New Roman"/>
          <w:sz w:val="28"/>
          <w:szCs w:val="28"/>
        </w:rPr>
        <w:t xml:space="preserve"> проблем энергосбережения явно недостаточно</w:t>
      </w:r>
      <w:r w:rsidR="00FF0906" w:rsidRPr="00FF0906">
        <w:rPr>
          <w:rFonts w:ascii="Times New Roman" w:hAnsi="Times New Roman"/>
          <w:sz w:val="28"/>
          <w:szCs w:val="28"/>
        </w:rPr>
        <w:t xml:space="preserve">. </w:t>
      </w:r>
    </w:p>
    <w:p w:rsidR="00A873E2" w:rsidRDefault="00264CDE" w:rsidP="00D12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Цель и задачи исследования</w:t>
      </w:r>
      <w:r w:rsidRPr="001852E3">
        <w:rPr>
          <w:rFonts w:ascii="Times New Roman" w:hAnsi="Times New Roman"/>
          <w:sz w:val="28"/>
          <w:szCs w:val="28"/>
        </w:rPr>
        <w:t>.</w:t>
      </w:r>
      <w:r w:rsidRPr="00F81A37">
        <w:rPr>
          <w:rFonts w:ascii="Times New Roman" w:hAnsi="Times New Roman"/>
          <w:sz w:val="28"/>
          <w:szCs w:val="28"/>
        </w:rPr>
        <w:t xml:space="preserve"> </w:t>
      </w:r>
      <w:r w:rsidR="00D122D8">
        <w:rPr>
          <w:rFonts w:ascii="Times New Roman" w:hAnsi="Times New Roman"/>
          <w:sz w:val="28"/>
          <w:szCs w:val="28"/>
        </w:rPr>
        <w:t xml:space="preserve">Основная </w:t>
      </w:r>
      <w:r w:rsidR="000C5CA7">
        <w:rPr>
          <w:rFonts w:ascii="Times New Roman" w:hAnsi="Times New Roman"/>
          <w:sz w:val="28"/>
          <w:szCs w:val="28"/>
        </w:rPr>
        <w:t>цель</w:t>
      </w:r>
      <w:r w:rsidRPr="009815D3">
        <w:rPr>
          <w:rFonts w:ascii="Times New Roman" w:hAnsi="Times New Roman"/>
          <w:sz w:val="28"/>
          <w:szCs w:val="28"/>
        </w:rPr>
        <w:t xml:space="preserve"> </w:t>
      </w:r>
      <w:r w:rsidR="005D2CD9">
        <w:rPr>
          <w:rFonts w:ascii="Times New Roman" w:hAnsi="Times New Roman"/>
          <w:sz w:val="28"/>
          <w:szCs w:val="28"/>
        </w:rPr>
        <w:t>диссертационно</w:t>
      </w:r>
      <w:r w:rsidR="00D122D8">
        <w:rPr>
          <w:rFonts w:ascii="Times New Roman" w:hAnsi="Times New Roman"/>
          <w:sz w:val="28"/>
          <w:szCs w:val="28"/>
        </w:rPr>
        <w:t>го</w:t>
      </w:r>
      <w:r w:rsidR="005D2CD9">
        <w:rPr>
          <w:rFonts w:ascii="Times New Roman" w:hAnsi="Times New Roman"/>
          <w:sz w:val="28"/>
          <w:szCs w:val="28"/>
        </w:rPr>
        <w:t xml:space="preserve"> </w:t>
      </w:r>
      <w:r w:rsidR="00D122D8">
        <w:rPr>
          <w:rFonts w:ascii="Times New Roman" w:hAnsi="Times New Roman"/>
          <w:sz w:val="28"/>
          <w:szCs w:val="28"/>
        </w:rPr>
        <w:t>исслед</w:t>
      </w:r>
      <w:r w:rsidR="00D122D8">
        <w:rPr>
          <w:rFonts w:ascii="Times New Roman" w:hAnsi="Times New Roman"/>
          <w:sz w:val="28"/>
          <w:szCs w:val="28"/>
        </w:rPr>
        <w:t>о</w:t>
      </w:r>
      <w:r w:rsidR="00D122D8">
        <w:rPr>
          <w:rFonts w:ascii="Times New Roman" w:hAnsi="Times New Roman"/>
          <w:sz w:val="28"/>
          <w:szCs w:val="28"/>
        </w:rPr>
        <w:t>вания</w:t>
      </w:r>
      <w:r w:rsidRPr="009815D3">
        <w:rPr>
          <w:rFonts w:ascii="Times New Roman" w:hAnsi="Times New Roman"/>
          <w:sz w:val="28"/>
          <w:szCs w:val="28"/>
        </w:rPr>
        <w:t xml:space="preserve"> </w:t>
      </w:r>
      <w:r w:rsidR="000C5CA7">
        <w:rPr>
          <w:rFonts w:ascii="Times New Roman" w:hAnsi="Times New Roman"/>
          <w:sz w:val="28"/>
          <w:szCs w:val="28"/>
        </w:rPr>
        <w:t xml:space="preserve">заключалась в </w:t>
      </w:r>
      <w:r w:rsidR="002F7BFF">
        <w:rPr>
          <w:rFonts w:ascii="Times New Roman" w:hAnsi="Times New Roman"/>
          <w:sz w:val="28"/>
          <w:szCs w:val="28"/>
        </w:rPr>
        <w:t xml:space="preserve">научной оценке </w:t>
      </w:r>
      <w:r w:rsidR="00A873E2">
        <w:rPr>
          <w:rFonts w:ascii="Times New Roman" w:hAnsi="Times New Roman"/>
          <w:sz w:val="28"/>
          <w:szCs w:val="28"/>
        </w:rPr>
        <w:t xml:space="preserve">тенденций энергоемкости российской промышленности и </w:t>
      </w:r>
      <w:r w:rsidR="002F7BFF">
        <w:rPr>
          <w:rFonts w:ascii="Times New Roman" w:hAnsi="Times New Roman"/>
          <w:sz w:val="28"/>
          <w:szCs w:val="28"/>
        </w:rPr>
        <w:t>ра</w:t>
      </w:r>
      <w:r w:rsidR="002F7BFF">
        <w:rPr>
          <w:rFonts w:ascii="Times New Roman" w:hAnsi="Times New Roman"/>
          <w:sz w:val="28"/>
          <w:szCs w:val="28"/>
        </w:rPr>
        <w:t>з</w:t>
      </w:r>
      <w:r w:rsidR="002F7BFF">
        <w:rPr>
          <w:rFonts w:ascii="Times New Roman" w:hAnsi="Times New Roman"/>
          <w:sz w:val="28"/>
          <w:szCs w:val="28"/>
        </w:rPr>
        <w:t xml:space="preserve">работке </w:t>
      </w:r>
      <w:r w:rsidR="00A873E2">
        <w:rPr>
          <w:rFonts w:ascii="Times New Roman" w:hAnsi="Times New Roman"/>
          <w:sz w:val="28"/>
          <w:szCs w:val="28"/>
        </w:rPr>
        <w:t>организационно-</w:t>
      </w:r>
      <w:r w:rsidR="002F7BFF" w:rsidRPr="002F7BFF">
        <w:rPr>
          <w:rFonts w:ascii="Times New Roman" w:hAnsi="Times New Roman"/>
          <w:sz w:val="28"/>
          <w:szCs w:val="28"/>
        </w:rPr>
        <w:t>экономи</w:t>
      </w:r>
      <w:r w:rsidR="00A873E2">
        <w:rPr>
          <w:rFonts w:ascii="Times New Roman" w:hAnsi="Times New Roman"/>
          <w:sz w:val="28"/>
          <w:szCs w:val="28"/>
        </w:rPr>
        <w:t xml:space="preserve">ческих и </w:t>
      </w:r>
      <w:r w:rsidR="002F7BFF" w:rsidRPr="002F7BFF">
        <w:rPr>
          <w:rFonts w:ascii="Times New Roman" w:hAnsi="Times New Roman"/>
          <w:sz w:val="28"/>
          <w:szCs w:val="28"/>
        </w:rPr>
        <w:t>сервисн</w:t>
      </w:r>
      <w:r w:rsidR="00A873E2">
        <w:rPr>
          <w:rFonts w:ascii="Times New Roman" w:hAnsi="Times New Roman"/>
          <w:sz w:val="28"/>
          <w:szCs w:val="28"/>
        </w:rPr>
        <w:t>о-кластерных</w:t>
      </w:r>
      <w:r w:rsidR="002F7BFF" w:rsidRPr="002F7BFF">
        <w:rPr>
          <w:rFonts w:ascii="Times New Roman" w:hAnsi="Times New Roman"/>
          <w:sz w:val="28"/>
          <w:szCs w:val="28"/>
        </w:rPr>
        <w:t xml:space="preserve"> механизм</w:t>
      </w:r>
      <w:r w:rsidR="002F7BFF">
        <w:rPr>
          <w:rFonts w:ascii="Times New Roman" w:hAnsi="Times New Roman"/>
          <w:sz w:val="28"/>
          <w:szCs w:val="28"/>
        </w:rPr>
        <w:t>ов</w:t>
      </w:r>
      <w:r w:rsidR="002F7BFF" w:rsidRPr="002F7BFF">
        <w:rPr>
          <w:rFonts w:ascii="Times New Roman" w:hAnsi="Times New Roman"/>
          <w:sz w:val="28"/>
          <w:szCs w:val="28"/>
        </w:rPr>
        <w:t xml:space="preserve"> </w:t>
      </w:r>
      <w:r w:rsidR="00A873E2">
        <w:rPr>
          <w:rFonts w:ascii="Times New Roman" w:hAnsi="Times New Roman"/>
          <w:sz w:val="28"/>
          <w:szCs w:val="28"/>
        </w:rPr>
        <w:t xml:space="preserve">ее </w:t>
      </w:r>
      <w:r w:rsidR="002F7BFF" w:rsidRPr="002F7BFF">
        <w:rPr>
          <w:rFonts w:ascii="Times New Roman" w:hAnsi="Times New Roman"/>
          <w:sz w:val="28"/>
          <w:szCs w:val="28"/>
        </w:rPr>
        <w:t xml:space="preserve">снижения </w:t>
      </w:r>
      <w:r w:rsidR="00A873E2">
        <w:rPr>
          <w:rFonts w:ascii="Times New Roman" w:hAnsi="Times New Roman"/>
          <w:sz w:val="28"/>
          <w:szCs w:val="28"/>
        </w:rPr>
        <w:t xml:space="preserve">при активном использовании возможностей </w:t>
      </w:r>
      <w:r w:rsidR="00A873E2" w:rsidRPr="00A873E2">
        <w:rPr>
          <w:rFonts w:ascii="Times New Roman" w:hAnsi="Times New Roman"/>
          <w:sz w:val="28"/>
          <w:szCs w:val="28"/>
        </w:rPr>
        <w:t>госу</w:t>
      </w:r>
      <w:r w:rsidR="00A873E2">
        <w:rPr>
          <w:rFonts w:ascii="Times New Roman" w:hAnsi="Times New Roman"/>
          <w:sz w:val="28"/>
          <w:szCs w:val="28"/>
        </w:rPr>
        <w:t xml:space="preserve">дарственно-частного партнерства. </w:t>
      </w:r>
    </w:p>
    <w:p w:rsidR="00264CDE" w:rsidRPr="00031857" w:rsidRDefault="00A873E2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</w:t>
      </w:r>
      <w:r w:rsidR="00264BBB">
        <w:rPr>
          <w:rFonts w:ascii="Times New Roman" w:hAnsi="Times New Roman"/>
          <w:sz w:val="28"/>
          <w:szCs w:val="28"/>
        </w:rPr>
        <w:t xml:space="preserve"> </w:t>
      </w:r>
      <w:r w:rsidR="0050119E">
        <w:rPr>
          <w:rFonts w:ascii="Times New Roman" w:hAnsi="Times New Roman"/>
          <w:sz w:val="28"/>
          <w:szCs w:val="28"/>
        </w:rPr>
        <w:t>основной</w:t>
      </w:r>
      <w:r w:rsidR="00AE0FBE">
        <w:rPr>
          <w:rFonts w:ascii="Times New Roman" w:hAnsi="Times New Roman"/>
          <w:sz w:val="28"/>
          <w:szCs w:val="28"/>
        </w:rPr>
        <w:t xml:space="preserve"> цели</w:t>
      </w:r>
      <w:r w:rsidR="007E795E">
        <w:rPr>
          <w:rFonts w:ascii="Times New Roman" w:hAnsi="Times New Roman"/>
          <w:sz w:val="28"/>
          <w:szCs w:val="28"/>
        </w:rPr>
        <w:t xml:space="preserve"> </w:t>
      </w:r>
      <w:r w:rsidR="0050119E">
        <w:rPr>
          <w:rFonts w:ascii="Times New Roman" w:hAnsi="Times New Roman"/>
          <w:sz w:val="28"/>
          <w:szCs w:val="28"/>
        </w:rPr>
        <w:t xml:space="preserve">диссертационной работы </w:t>
      </w:r>
      <w:r>
        <w:rPr>
          <w:rFonts w:ascii="Times New Roman" w:hAnsi="Times New Roman"/>
          <w:sz w:val="28"/>
          <w:szCs w:val="28"/>
        </w:rPr>
        <w:t>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ставились</w:t>
      </w:r>
      <w:r w:rsidR="009F5A19">
        <w:rPr>
          <w:rFonts w:ascii="Times New Roman" w:hAnsi="Times New Roman"/>
          <w:sz w:val="28"/>
          <w:szCs w:val="28"/>
        </w:rPr>
        <w:t xml:space="preserve"> и реш</w:t>
      </w:r>
      <w:r>
        <w:rPr>
          <w:rFonts w:ascii="Times New Roman" w:hAnsi="Times New Roman"/>
          <w:sz w:val="28"/>
          <w:szCs w:val="28"/>
        </w:rPr>
        <w:t>ались</w:t>
      </w:r>
      <w:r w:rsidR="009F5A19">
        <w:rPr>
          <w:rFonts w:ascii="Times New Roman" w:hAnsi="Times New Roman"/>
          <w:sz w:val="28"/>
          <w:szCs w:val="28"/>
        </w:rPr>
        <w:t xml:space="preserve"> </w:t>
      </w:r>
      <w:r w:rsidR="001518C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е</w:t>
      </w:r>
      <w:r w:rsidR="009F5A19" w:rsidRPr="00031857">
        <w:rPr>
          <w:rFonts w:ascii="Times New Roman" w:hAnsi="Times New Roman"/>
          <w:sz w:val="28"/>
          <w:szCs w:val="28"/>
        </w:rPr>
        <w:t xml:space="preserve"> научны</w:t>
      </w:r>
      <w:r>
        <w:rPr>
          <w:rFonts w:ascii="Times New Roman" w:hAnsi="Times New Roman"/>
          <w:sz w:val="28"/>
          <w:szCs w:val="28"/>
        </w:rPr>
        <w:t>е</w:t>
      </w:r>
      <w:r w:rsidR="00264CDE" w:rsidRPr="0003185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="00264CDE" w:rsidRPr="000318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6F94" w:rsidRDefault="00264CDE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857">
        <w:rPr>
          <w:rFonts w:ascii="Times New Roman" w:hAnsi="Times New Roman"/>
          <w:sz w:val="28"/>
          <w:szCs w:val="28"/>
        </w:rPr>
        <w:t xml:space="preserve">- </w:t>
      </w:r>
      <w:r w:rsidR="00A873E2">
        <w:rPr>
          <w:rFonts w:ascii="Times New Roman" w:hAnsi="Times New Roman"/>
          <w:sz w:val="28"/>
          <w:szCs w:val="28"/>
        </w:rPr>
        <w:t>обобщить теоретические подходы к проблемам неоиндустриализации</w:t>
      </w:r>
      <w:r w:rsidR="00A873E2" w:rsidRPr="00A873E2">
        <w:rPr>
          <w:rFonts w:ascii="Times New Roman" w:hAnsi="Times New Roman"/>
          <w:sz w:val="28"/>
          <w:szCs w:val="28"/>
        </w:rPr>
        <w:t xml:space="preserve"> отечес</w:t>
      </w:r>
      <w:r w:rsidR="00A873E2" w:rsidRPr="00A873E2">
        <w:rPr>
          <w:rFonts w:ascii="Times New Roman" w:hAnsi="Times New Roman"/>
          <w:sz w:val="28"/>
          <w:szCs w:val="28"/>
        </w:rPr>
        <w:t>т</w:t>
      </w:r>
      <w:r w:rsidR="00A873E2" w:rsidRPr="00A873E2">
        <w:rPr>
          <w:rFonts w:ascii="Times New Roman" w:hAnsi="Times New Roman"/>
          <w:sz w:val="28"/>
          <w:szCs w:val="28"/>
        </w:rPr>
        <w:t>вен</w:t>
      </w:r>
      <w:r w:rsidR="00BE57C9">
        <w:rPr>
          <w:rFonts w:ascii="Times New Roman" w:hAnsi="Times New Roman"/>
          <w:sz w:val="28"/>
          <w:szCs w:val="28"/>
        </w:rPr>
        <w:t xml:space="preserve">ной экономики; </w:t>
      </w:r>
    </w:p>
    <w:p w:rsidR="00BE57C9" w:rsidRDefault="00BE57C9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выделить к</w:t>
      </w:r>
      <w:r w:rsidRPr="00BE57C9">
        <w:rPr>
          <w:rFonts w:ascii="Times New Roman" w:hAnsi="Times New Roman"/>
          <w:sz w:val="28"/>
          <w:szCs w:val="28"/>
        </w:rPr>
        <w:t>лючевые императивы формирования и развития нов</w:t>
      </w:r>
      <w:r>
        <w:rPr>
          <w:rFonts w:ascii="Times New Roman" w:hAnsi="Times New Roman"/>
          <w:sz w:val="28"/>
          <w:szCs w:val="28"/>
        </w:rPr>
        <w:t>ого</w:t>
      </w:r>
      <w:r w:rsidRPr="00BE57C9">
        <w:rPr>
          <w:rFonts w:ascii="Times New Roman" w:hAnsi="Times New Roman"/>
          <w:sz w:val="28"/>
          <w:szCs w:val="28"/>
        </w:rPr>
        <w:t xml:space="preserve"> этапа индустриализации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E57C9" w:rsidRDefault="00BE57C9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э</w:t>
      </w:r>
      <w:r w:rsidRPr="00BE57C9">
        <w:rPr>
          <w:rFonts w:ascii="Times New Roman" w:hAnsi="Times New Roman"/>
          <w:sz w:val="28"/>
          <w:szCs w:val="28"/>
        </w:rPr>
        <w:t xml:space="preserve">нергосбережение </w:t>
      </w:r>
      <w:r>
        <w:rPr>
          <w:rFonts w:ascii="Times New Roman" w:hAnsi="Times New Roman"/>
          <w:sz w:val="28"/>
          <w:szCs w:val="28"/>
        </w:rPr>
        <w:t>в качестве необходимого</w:t>
      </w:r>
      <w:r w:rsidRPr="00BE57C9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а</w:t>
      </w:r>
      <w:r w:rsidRPr="00BE5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 развития</w:t>
      </w:r>
      <w:r w:rsidRPr="00BE57C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E57C9" w:rsidRDefault="00BE57C9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BC0">
        <w:rPr>
          <w:rFonts w:ascii="Times New Roman" w:hAnsi="Times New Roman"/>
          <w:sz w:val="28"/>
          <w:szCs w:val="28"/>
        </w:rPr>
        <w:t xml:space="preserve">проанализировать </w:t>
      </w:r>
      <w:r w:rsidR="001E0819">
        <w:rPr>
          <w:rFonts w:ascii="Times New Roman" w:hAnsi="Times New Roman"/>
          <w:sz w:val="28"/>
          <w:szCs w:val="28"/>
        </w:rPr>
        <w:t xml:space="preserve">энерго-сырьевые факторы </w:t>
      </w:r>
      <w:r w:rsidR="00D6398E">
        <w:rPr>
          <w:rFonts w:ascii="Times New Roman" w:hAnsi="Times New Roman"/>
          <w:sz w:val="28"/>
          <w:szCs w:val="28"/>
        </w:rPr>
        <w:t xml:space="preserve">российской </w:t>
      </w:r>
      <w:r w:rsidR="001E0819">
        <w:rPr>
          <w:rFonts w:ascii="Times New Roman" w:hAnsi="Times New Roman"/>
          <w:sz w:val="28"/>
          <w:szCs w:val="28"/>
        </w:rPr>
        <w:t>неоиндустри</w:t>
      </w:r>
      <w:r w:rsidR="001E0819">
        <w:rPr>
          <w:rFonts w:ascii="Times New Roman" w:hAnsi="Times New Roman"/>
          <w:sz w:val="28"/>
          <w:szCs w:val="28"/>
        </w:rPr>
        <w:t>а</w:t>
      </w:r>
      <w:r w:rsidR="001E0819">
        <w:rPr>
          <w:rFonts w:ascii="Times New Roman" w:hAnsi="Times New Roman"/>
          <w:sz w:val="28"/>
          <w:szCs w:val="28"/>
        </w:rPr>
        <w:t>лизации</w:t>
      </w:r>
      <w:r w:rsidR="00957BC0">
        <w:rPr>
          <w:rFonts w:ascii="Times New Roman" w:hAnsi="Times New Roman"/>
          <w:sz w:val="28"/>
          <w:szCs w:val="28"/>
        </w:rPr>
        <w:t xml:space="preserve">; </w:t>
      </w:r>
    </w:p>
    <w:p w:rsidR="00957BC0" w:rsidRDefault="00957BC0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оценку динамике энергоемкости валового внутреннего продукта</w:t>
      </w:r>
      <w:r w:rsidR="00D6398E">
        <w:rPr>
          <w:rFonts w:ascii="Times New Roman" w:hAnsi="Times New Roman"/>
          <w:sz w:val="28"/>
          <w:szCs w:val="28"/>
        </w:rPr>
        <w:t xml:space="preserve"> и продукции промышленности</w:t>
      </w:r>
      <w:r>
        <w:rPr>
          <w:rFonts w:ascii="Times New Roman" w:hAnsi="Times New Roman"/>
          <w:sz w:val="28"/>
          <w:szCs w:val="28"/>
        </w:rPr>
        <w:t>;</w:t>
      </w:r>
      <w:r w:rsidR="00D6398E">
        <w:rPr>
          <w:rFonts w:ascii="Times New Roman" w:hAnsi="Times New Roman"/>
          <w:sz w:val="28"/>
          <w:szCs w:val="28"/>
        </w:rPr>
        <w:t xml:space="preserve"> </w:t>
      </w:r>
    </w:p>
    <w:p w:rsidR="00957BC0" w:rsidRDefault="00957BC0" w:rsidP="00666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предложения по созданию э</w:t>
      </w:r>
      <w:r w:rsidRPr="00957BC0">
        <w:rPr>
          <w:rFonts w:ascii="Times New Roman" w:hAnsi="Times New Roman"/>
          <w:sz w:val="28"/>
          <w:szCs w:val="28"/>
        </w:rPr>
        <w:t>нергосервисны</w:t>
      </w:r>
      <w:r>
        <w:rPr>
          <w:rFonts w:ascii="Times New Roman" w:hAnsi="Times New Roman"/>
          <w:sz w:val="28"/>
          <w:szCs w:val="28"/>
        </w:rPr>
        <w:t>х</w:t>
      </w:r>
      <w:r w:rsidRPr="00957BC0">
        <w:rPr>
          <w:rFonts w:ascii="Times New Roman" w:hAnsi="Times New Roman"/>
          <w:sz w:val="28"/>
          <w:szCs w:val="28"/>
        </w:rPr>
        <w:t xml:space="preserve"> кластер</w:t>
      </w:r>
      <w:r>
        <w:rPr>
          <w:rFonts w:ascii="Times New Roman" w:hAnsi="Times New Roman"/>
          <w:sz w:val="28"/>
          <w:szCs w:val="28"/>
        </w:rPr>
        <w:t>ов</w:t>
      </w:r>
      <w:r w:rsidRPr="00957BC0">
        <w:rPr>
          <w:rFonts w:ascii="Times New Roman" w:hAnsi="Times New Roman"/>
          <w:sz w:val="28"/>
          <w:szCs w:val="28"/>
        </w:rPr>
        <w:t xml:space="preserve"> как мех</w:t>
      </w:r>
      <w:r w:rsidRPr="00957BC0">
        <w:rPr>
          <w:rFonts w:ascii="Times New Roman" w:hAnsi="Times New Roman"/>
          <w:sz w:val="28"/>
          <w:szCs w:val="28"/>
        </w:rPr>
        <w:t>а</w:t>
      </w:r>
      <w:r w:rsidRPr="00957BC0">
        <w:rPr>
          <w:rFonts w:ascii="Times New Roman" w:hAnsi="Times New Roman"/>
          <w:sz w:val="28"/>
          <w:szCs w:val="28"/>
        </w:rPr>
        <w:t>низм</w:t>
      </w:r>
      <w:r>
        <w:rPr>
          <w:rFonts w:ascii="Times New Roman" w:hAnsi="Times New Roman"/>
          <w:sz w:val="28"/>
          <w:szCs w:val="28"/>
        </w:rPr>
        <w:t>а</w:t>
      </w:r>
      <w:r w:rsidRPr="00957BC0">
        <w:rPr>
          <w:rFonts w:ascii="Times New Roman" w:hAnsi="Times New Roman"/>
          <w:sz w:val="28"/>
          <w:szCs w:val="28"/>
        </w:rPr>
        <w:t xml:space="preserve"> снижения энергоемкости российской промышленности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66F94" w:rsidRPr="00666F94" w:rsidRDefault="00957BC0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предложить м</w:t>
      </w:r>
      <w:r w:rsidRPr="00957BC0">
        <w:rPr>
          <w:rFonts w:ascii="Times New Roman" w:hAnsi="Times New Roman"/>
          <w:sz w:val="28"/>
          <w:szCs w:val="28"/>
        </w:rPr>
        <w:t>еханизм государственно-частного партнерства поддержки энергосервисных кластеров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56CA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5A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AC5E5A">
        <w:rPr>
          <w:rFonts w:ascii="Times New Roman" w:hAnsi="Times New Roman"/>
          <w:sz w:val="28"/>
          <w:szCs w:val="28"/>
        </w:rPr>
        <w:t xml:space="preserve"> </w:t>
      </w:r>
      <w:r w:rsidR="00957BC0">
        <w:rPr>
          <w:rFonts w:ascii="Times New Roman" w:hAnsi="Times New Roman"/>
          <w:sz w:val="28"/>
          <w:szCs w:val="28"/>
        </w:rPr>
        <w:t>представлен</w:t>
      </w:r>
      <w:r w:rsidR="00FD394E">
        <w:rPr>
          <w:rFonts w:ascii="Times New Roman" w:hAnsi="Times New Roman"/>
          <w:sz w:val="28"/>
          <w:szCs w:val="28"/>
        </w:rPr>
        <w:t xml:space="preserve"> </w:t>
      </w:r>
      <w:r w:rsidR="00FD394E" w:rsidRPr="00AC5E5A">
        <w:rPr>
          <w:rFonts w:ascii="Times New Roman" w:hAnsi="Times New Roman"/>
          <w:sz w:val="28"/>
          <w:szCs w:val="28"/>
        </w:rPr>
        <w:t>управленчески</w:t>
      </w:r>
      <w:r w:rsidR="00957BC0">
        <w:rPr>
          <w:rFonts w:ascii="Times New Roman" w:hAnsi="Times New Roman"/>
          <w:sz w:val="28"/>
          <w:szCs w:val="28"/>
        </w:rPr>
        <w:t>ми</w:t>
      </w:r>
      <w:r w:rsidR="00FD394E" w:rsidRPr="00AC5E5A">
        <w:rPr>
          <w:rFonts w:ascii="Times New Roman" w:hAnsi="Times New Roman"/>
          <w:sz w:val="28"/>
          <w:szCs w:val="28"/>
        </w:rPr>
        <w:t xml:space="preserve"> </w:t>
      </w:r>
      <w:r w:rsidR="00FD394E">
        <w:rPr>
          <w:rFonts w:ascii="Times New Roman" w:hAnsi="Times New Roman"/>
          <w:sz w:val="28"/>
          <w:szCs w:val="28"/>
        </w:rPr>
        <w:t>и организацио</w:t>
      </w:r>
      <w:r w:rsidR="00FD394E">
        <w:rPr>
          <w:rFonts w:ascii="Times New Roman" w:hAnsi="Times New Roman"/>
          <w:sz w:val="28"/>
          <w:szCs w:val="28"/>
        </w:rPr>
        <w:t>н</w:t>
      </w:r>
      <w:r w:rsidR="00FD394E">
        <w:rPr>
          <w:rFonts w:ascii="Times New Roman" w:hAnsi="Times New Roman"/>
          <w:sz w:val="28"/>
          <w:szCs w:val="28"/>
        </w:rPr>
        <w:t>но-</w:t>
      </w:r>
      <w:r w:rsidR="00FD394E" w:rsidRPr="00AC5E5A">
        <w:rPr>
          <w:rFonts w:ascii="Times New Roman" w:hAnsi="Times New Roman"/>
          <w:sz w:val="28"/>
          <w:szCs w:val="28"/>
        </w:rPr>
        <w:t>экономически</w:t>
      </w:r>
      <w:r w:rsidR="00957BC0">
        <w:rPr>
          <w:rFonts w:ascii="Times New Roman" w:hAnsi="Times New Roman"/>
          <w:sz w:val="28"/>
          <w:szCs w:val="28"/>
        </w:rPr>
        <w:t>ми</w:t>
      </w:r>
      <w:r w:rsidR="00FD394E" w:rsidRPr="00AC5E5A">
        <w:rPr>
          <w:rFonts w:ascii="Times New Roman" w:hAnsi="Times New Roman"/>
          <w:sz w:val="28"/>
          <w:szCs w:val="28"/>
        </w:rPr>
        <w:t xml:space="preserve"> отношени</w:t>
      </w:r>
      <w:r w:rsidR="00FD394E">
        <w:rPr>
          <w:rFonts w:ascii="Times New Roman" w:hAnsi="Times New Roman"/>
          <w:sz w:val="28"/>
          <w:szCs w:val="28"/>
        </w:rPr>
        <w:t>я</w:t>
      </w:r>
      <w:r w:rsidR="00BF77FC">
        <w:rPr>
          <w:rFonts w:ascii="Times New Roman" w:hAnsi="Times New Roman"/>
          <w:sz w:val="28"/>
          <w:szCs w:val="28"/>
        </w:rPr>
        <w:t>ми</w:t>
      </w:r>
      <w:r w:rsidR="00FD394E">
        <w:rPr>
          <w:rFonts w:ascii="Times New Roman" w:hAnsi="Times New Roman"/>
          <w:sz w:val="28"/>
          <w:szCs w:val="28"/>
        </w:rPr>
        <w:t xml:space="preserve">, </w:t>
      </w:r>
      <w:r w:rsidR="00BF77FC">
        <w:rPr>
          <w:rFonts w:ascii="Times New Roman" w:hAnsi="Times New Roman"/>
          <w:sz w:val="28"/>
          <w:szCs w:val="28"/>
        </w:rPr>
        <w:t xml:space="preserve">системно воздействующими на энергоемкость российской промышленности. </w:t>
      </w:r>
    </w:p>
    <w:p w:rsidR="00BF77FC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5A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AC5E5A">
        <w:rPr>
          <w:rFonts w:ascii="Times New Roman" w:hAnsi="Times New Roman"/>
          <w:sz w:val="28"/>
          <w:szCs w:val="28"/>
        </w:rPr>
        <w:t xml:space="preserve"> </w:t>
      </w:r>
      <w:r w:rsidR="00D377A4">
        <w:rPr>
          <w:rFonts w:ascii="Times New Roman" w:hAnsi="Times New Roman"/>
          <w:sz w:val="28"/>
          <w:szCs w:val="28"/>
        </w:rPr>
        <w:t>- комплекс</w:t>
      </w:r>
      <w:r w:rsidR="0082716C">
        <w:rPr>
          <w:rFonts w:ascii="Times New Roman" w:hAnsi="Times New Roman"/>
          <w:sz w:val="28"/>
          <w:szCs w:val="28"/>
        </w:rPr>
        <w:t xml:space="preserve"> </w:t>
      </w:r>
      <w:r w:rsidR="002669BF">
        <w:rPr>
          <w:rFonts w:ascii="Times New Roman" w:hAnsi="Times New Roman"/>
          <w:sz w:val="28"/>
          <w:szCs w:val="28"/>
        </w:rPr>
        <w:t>промышленн</w:t>
      </w:r>
      <w:r w:rsidR="00F617C2">
        <w:rPr>
          <w:rFonts w:ascii="Times New Roman" w:hAnsi="Times New Roman"/>
          <w:sz w:val="28"/>
          <w:szCs w:val="28"/>
        </w:rPr>
        <w:t>ы</w:t>
      </w:r>
      <w:r w:rsidR="00BF77FC">
        <w:rPr>
          <w:rFonts w:ascii="Times New Roman" w:hAnsi="Times New Roman"/>
          <w:sz w:val="28"/>
          <w:szCs w:val="28"/>
        </w:rPr>
        <w:t>х производств, опред</w:t>
      </w:r>
      <w:r w:rsidR="00BF77FC">
        <w:rPr>
          <w:rFonts w:ascii="Times New Roman" w:hAnsi="Times New Roman"/>
          <w:sz w:val="28"/>
          <w:szCs w:val="28"/>
        </w:rPr>
        <w:t>е</w:t>
      </w:r>
      <w:r w:rsidR="00BF77FC">
        <w:rPr>
          <w:rFonts w:ascii="Times New Roman" w:hAnsi="Times New Roman"/>
          <w:sz w:val="28"/>
          <w:szCs w:val="28"/>
        </w:rPr>
        <w:t>ляющих энергоемкость национальной экономики и валовой добавленной стоимости</w:t>
      </w:r>
      <w:r w:rsidR="009A6EBB">
        <w:rPr>
          <w:rFonts w:ascii="Times New Roman" w:hAnsi="Times New Roman"/>
          <w:sz w:val="28"/>
          <w:szCs w:val="28"/>
        </w:rPr>
        <w:t xml:space="preserve"> в условиях углубления рыночных отношений. </w:t>
      </w:r>
    </w:p>
    <w:p w:rsidR="00666F94" w:rsidRDefault="00264CDE" w:rsidP="003C0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Соответствие темы диссертации требованиям Паспорта специальн</w:t>
      </w:r>
      <w:r w:rsidRPr="00CE53EE">
        <w:rPr>
          <w:rFonts w:ascii="Times New Roman" w:hAnsi="Times New Roman"/>
          <w:b/>
          <w:sz w:val="28"/>
          <w:szCs w:val="28"/>
        </w:rPr>
        <w:t>о</w:t>
      </w:r>
      <w:r w:rsidRPr="00CE53EE">
        <w:rPr>
          <w:rFonts w:ascii="Times New Roman" w:hAnsi="Times New Roman"/>
          <w:b/>
          <w:sz w:val="28"/>
          <w:szCs w:val="28"/>
        </w:rPr>
        <w:t>стей ВАК (по экономическим наукам)</w:t>
      </w:r>
      <w:r w:rsidRPr="00CE5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3EF">
        <w:rPr>
          <w:rFonts w:ascii="Times New Roman" w:hAnsi="Times New Roman"/>
          <w:sz w:val="28"/>
          <w:szCs w:val="28"/>
        </w:rPr>
        <w:t xml:space="preserve">Исследование выполнено в </w:t>
      </w:r>
      <w:r w:rsidRPr="007D3E77">
        <w:rPr>
          <w:rFonts w:ascii="Times New Roman" w:hAnsi="Times New Roman"/>
          <w:sz w:val="28"/>
          <w:szCs w:val="28"/>
        </w:rPr>
        <w:t xml:space="preserve">соответствии с </w:t>
      </w:r>
      <w:r w:rsidR="003C00C0">
        <w:rPr>
          <w:rFonts w:ascii="Times New Roman" w:hAnsi="Times New Roman"/>
          <w:sz w:val="28"/>
          <w:szCs w:val="28"/>
        </w:rPr>
        <w:t xml:space="preserve">требованиями </w:t>
      </w:r>
      <w:r w:rsidR="009A6EBB">
        <w:rPr>
          <w:rFonts w:ascii="Times New Roman" w:hAnsi="Times New Roman"/>
          <w:sz w:val="28"/>
          <w:szCs w:val="28"/>
        </w:rPr>
        <w:t>п. 1.1.1</w:t>
      </w:r>
      <w:r w:rsidR="009A6EBB" w:rsidRPr="009A6EBB">
        <w:rPr>
          <w:rFonts w:ascii="Times New Roman" w:hAnsi="Times New Roman"/>
          <w:sz w:val="28"/>
          <w:szCs w:val="28"/>
        </w:rPr>
        <w:t xml:space="preserve"> </w:t>
      </w:r>
      <w:r w:rsidR="009A6EBB">
        <w:rPr>
          <w:rFonts w:ascii="Times New Roman" w:hAnsi="Times New Roman"/>
          <w:sz w:val="28"/>
          <w:szCs w:val="28"/>
        </w:rPr>
        <w:t>"</w:t>
      </w:r>
      <w:r w:rsidR="009A6EBB" w:rsidRPr="009A6EBB">
        <w:rPr>
          <w:rFonts w:ascii="Times New Roman" w:hAnsi="Times New Roman"/>
          <w:sz w:val="28"/>
          <w:szCs w:val="28"/>
        </w:rPr>
        <w:t>Разработка новых и адаптация существующих методов, механизмов и инструментов функционирования экономики, организации и управления хозяйственными</w:t>
      </w:r>
      <w:r w:rsidR="009A6EBB">
        <w:rPr>
          <w:rFonts w:ascii="Times New Roman" w:hAnsi="Times New Roman"/>
          <w:sz w:val="28"/>
          <w:szCs w:val="28"/>
        </w:rPr>
        <w:t xml:space="preserve"> образованиями в промышленности", п. </w:t>
      </w:r>
      <w:r w:rsidR="009A6EBB" w:rsidRPr="009A6EBB">
        <w:rPr>
          <w:rFonts w:ascii="Times New Roman" w:hAnsi="Times New Roman"/>
          <w:sz w:val="28"/>
          <w:szCs w:val="28"/>
        </w:rPr>
        <w:t xml:space="preserve">1.1.6 </w:t>
      </w:r>
      <w:r w:rsidR="009A6EBB">
        <w:rPr>
          <w:rFonts w:ascii="Times New Roman" w:hAnsi="Times New Roman"/>
          <w:sz w:val="28"/>
          <w:szCs w:val="28"/>
        </w:rPr>
        <w:t>"</w:t>
      </w:r>
      <w:r w:rsidR="009A6EBB" w:rsidRPr="009A6EBB">
        <w:rPr>
          <w:rFonts w:ascii="Times New Roman" w:hAnsi="Times New Roman"/>
          <w:sz w:val="28"/>
          <w:szCs w:val="28"/>
        </w:rPr>
        <w:t>Государственное управление структурными преобразованиями в народном хозяйстве</w:t>
      </w:r>
      <w:r w:rsidR="009A6EBB">
        <w:rPr>
          <w:rFonts w:ascii="Times New Roman" w:hAnsi="Times New Roman"/>
          <w:sz w:val="28"/>
          <w:szCs w:val="28"/>
        </w:rPr>
        <w:t xml:space="preserve">" и п. </w:t>
      </w:r>
      <w:r w:rsidR="009A6EBB" w:rsidRPr="009A6EBB">
        <w:rPr>
          <w:rFonts w:ascii="Times New Roman" w:hAnsi="Times New Roman"/>
          <w:sz w:val="28"/>
          <w:szCs w:val="28"/>
        </w:rPr>
        <w:t xml:space="preserve">1.1.16 </w:t>
      </w:r>
      <w:r w:rsidR="009A6EBB">
        <w:rPr>
          <w:rFonts w:ascii="Times New Roman" w:hAnsi="Times New Roman"/>
          <w:sz w:val="28"/>
          <w:szCs w:val="28"/>
        </w:rPr>
        <w:t>"</w:t>
      </w:r>
      <w:r w:rsidR="009A6EBB" w:rsidRPr="009A6EBB">
        <w:rPr>
          <w:rFonts w:ascii="Times New Roman" w:hAnsi="Times New Roman"/>
          <w:sz w:val="28"/>
          <w:szCs w:val="28"/>
        </w:rPr>
        <w:t>Промышленная политика на макро- и микроуровне</w:t>
      </w:r>
      <w:r w:rsidR="009A6EBB">
        <w:rPr>
          <w:rFonts w:ascii="Times New Roman" w:hAnsi="Times New Roman"/>
          <w:sz w:val="28"/>
          <w:szCs w:val="28"/>
        </w:rPr>
        <w:t xml:space="preserve">" </w:t>
      </w:r>
      <w:r w:rsidR="003C00C0" w:rsidRPr="008203EF">
        <w:rPr>
          <w:rFonts w:ascii="Times New Roman" w:hAnsi="Times New Roman"/>
          <w:sz w:val="28"/>
          <w:szCs w:val="28"/>
        </w:rPr>
        <w:t>Паспорта специальн</w:t>
      </w:r>
      <w:r w:rsidR="003C00C0" w:rsidRPr="008203EF">
        <w:rPr>
          <w:rFonts w:ascii="Times New Roman" w:hAnsi="Times New Roman"/>
          <w:sz w:val="28"/>
          <w:szCs w:val="28"/>
        </w:rPr>
        <w:t>о</w:t>
      </w:r>
      <w:r w:rsidR="003C00C0" w:rsidRPr="008203EF">
        <w:rPr>
          <w:rFonts w:ascii="Times New Roman" w:hAnsi="Times New Roman"/>
          <w:sz w:val="28"/>
          <w:szCs w:val="28"/>
        </w:rPr>
        <w:t>сти 08.00.05 – Экономика и управление народным хозяйством</w:t>
      </w:r>
      <w:r w:rsidR="003C00C0">
        <w:rPr>
          <w:rFonts w:ascii="Times New Roman" w:hAnsi="Times New Roman"/>
          <w:sz w:val="28"/>
          <w:szCs w:val="28"/>
        </w:rPr>
        <w:t>:</w:t>
      </w:r>
      <w:r w:rsidR="003C00C0" w:rsidRPr="008203EF">
        <w:rPr>
          <w:rFonts w:ascii="Times New Roman" w:hAnsi="Times New Roman"/>
          <w:sz w:val="28"/>
          <w:szCs w:val="28"/>
        </w:rPr>
        <w:t xml:space="preserve"> </w:t>
      </w:r>
      <w:r w:rsidR="003C00C0">
        <w:rPr>
          <w:rFonts w:ascii="Times New Roman" w:hAnsi="Times New Roman"/>
          <w:sz w:val="28"/>
          <w:szCs w:val="28"/>
        </w:rPr>
        <w:t>э</w:t>
      </w:r>
      <w:r w:rsidR="003C00C0" w:rsidRPr="00155DCB">
        <w:rPr>
          <w:rFonts w:ascii="Times New Roman" w:hAnsi="Times New Roman"/>
          <w:sz w:val="28"/>
          <w:szCs w:val="28"/>
        </w:rPr>
        <w:t>кономика, организация и управление предприятиями, отраслями,</w:t>
      </w:r>
      <w:r w:rsidR="003C00C0">
        <w:rPr>
          <w:rFonts w:ascii="Times New Roman" w:hAnsi="Times New Roman"/>
          <w:sz w:val="28"/>
          <w:szCs w:val="28"/>
        </w:rPr>
        <w:t xml:space="preserve"> </w:t>
      </w:r>
      <w:r w:rsidR="003C00C0" w:rsidRPr="00155DCB">
        <w:rPr>
          <w:rFonts w:ascii="Times New Roman" w:hAnsi="Times New Roman"/>
          <w:sz w:val="28"/>
          <w:szCs w:val="28"/>
        </w:rPr>
        <w:t>комплексами</w:t>
      </w:r>
      <w:r w:rsidR="003C00C0">
        <w:rPr>
          <w:rFonts w:ascii="Times New Roman" w:hAnsi="Times New Roman"/>
          <w:sz w:val="28"/>
          <w:szCs w:val="28"/>
        </w:rPr>
        <w:t xml:space="preserve"> – промышленность</w:t>
      </w:r>
      <w:r w:rsidR="00666F94">
        <w:rPr>
          <w:rFonts w:ascii="Times New Roman" w:hAnsi="Times New Roman"/>
          <w:sz w:val="28"/>
          <w:szCs w:val="28"/>
        </w:rPr>
        <w:t xml:space="preserve">. </w:t>
      </w:r>
    </w:p>
    <w:p w:rsidR="00D377A4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 xml:space="preserve">Теоретическая </w:t>
      </w:r>
      <w:r w:rsidR="002669BF">
        <w:rPr>
          <w:rFonts w:ascii="Times New Roman" w:hAnsi="Times New Roman"/>
          <w:b/>
          <w:sz w:val="28"/>
          <w:szCs w:val="28"/>
        </w:rPr>
        <w:t>база</w:t>
      </w:r>
      <w:r w:rsidRPr="00CE53EE">
        <w:rPr>
          <w:rFonts w:ascii="Times New Roman" w:hAnsi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F7">
        <w:rPr>
          <w:rFonts w:ascii="Times New Roman" w:hAnsi="Times New Roman"/>
          <w:sz w:val="28"/>
          <w:szCs w:val="28"/>
        </w:rPr>
        <w:t xml:space="preserve">представлена </w:t>
      </w:r>
      <w:r w:rsidR="00CF4AC0">
        <w:rPr>
          <w:rFonts w:ascii="Times New Roman" w:hAnsi="Times New Roman"/>
          <w:sz w:val="28"/>
          <w:szCs w:val="28"/>
        </w:rPr>
        <w:t>многочисленными трудами</w:t>
      </w:r>
      <w:r w:rsidR="008D59AA">
        <w:rPr>
          <w:rFonts w:ascii="Times New Roman" w:hAnsi="Times New Roman"/>
          <w:sz w:val="28"/>
          <w:szCs w:val="28"/>
        </w:rPr>
        <w:t xml:space="preserve"> </w:t>
      </w:r>
      <w:r w:rsidR="00061EB6">
        <w:rPr>
          <w:rFonts w:ascii="Times New Roman" w:hAnsi="Times New Roman"/>
          <w:sz w:val="28"/>
          <w:szCs w:val="28"/>
        </w:rPr>
        <w:t xml:space="preserve">зарубежных </w:t>
      </w:r>
      <w:r w:rsidR="008D59AA">
        <w:rPr>
          <w:rFonts w:ascii="Times New Roman" w:hAnsi="Times New Roman"/>
          <w:sz w:val="28"/>
          <w:szCs w:val="28"/>
        </w:rPr>
        <w:t>и</w:t>
      </w:r>
      <w:r w:rsidR="00430FF6">
        <w:rPr>
          <w:rFonts w:ascii="Times New Roman" w:hAnsi="Times New Roman"/>
          <w:sz w:val="28"/>
          <w:szCs w:val="28"/>
        </w:rPr>
        <w:t xml:space="preserve"> </w:t>
      </w:r>
      <w:r w:rsidR="00CF4AC0">
        <w:rPr>
          <w:rFonts w:ascii="Times New Roman" w:hAnsi="Times New Roman"/>
          <w:sz w:val="28"/>
          <w:szCs w:val="28"/>
        </w:rPr>
        <w:t>отечественных</w:t>
      </w:r>
      <w:r w:rsidR="00061EB6">
        <w:rPr>
          <w:rFonts w:ascii="Times New Roman" w:hAnsi="Times New Roman"/>
          <w:sz w:val="28"/>
          <w:szCs w:val="28"/>
        </w:rPr>
        <w:t xml:space="preserve"> </w:t>
      </w:r>
      <w:r w:rsidR="008002F7">
        <w:rPr>
          <w:rFonts w:ascii="Times New Roman" w:hAnsi="Times New Roman"/>
          <w:sz w:val="28"/>
          <w:szCs w:val="28"/>
        </w:rPr>
        <w:t xml:space="preserve">ученых </w:t>
      </w:r>
      <w:r w:rsidR="00CF4AC0">
        <w:rPr>
          <w:rFonts w:ascii="Times New Roman" w:hAnsi="Times New Roman"/>
          <w:sz w:val="28"/>
          <w:szCs w:val="28"/>
        </w:rPr>
        <w:t>по вопросам формирования и развития постиндустриального общества, определения и снижения э</w:t>
      </w:r>
      <w:r w:rsidR="008D59AA">
        <w:rPr>
          <w:rFonts w:ascii="Times New Roman" w:hAnsi="Times New Roman"/>
          <w:sz w:val="28"/>
          <w:szCs w:val="28"/>
        </w:rPr>
        <w:t>нерго</w:t>
      </w:r>
      <w:r w:rsidR="00CF4AC0">
        <w:rPr>
          <w:rFonts w:ascii="Times New Roman" w:hAnsi="Times New Roman"/>
          <w:sz w:val="28"/>
          <w:szCs w:val="28"/>
        </w:rPr>
        <w:t>емкости</w:t>
      </w:r>
      <w:r w:rsidR="008D59AA">
        <w:rPr>
          <w:rFonts w:ascii="Times New Roman" w:hAnsi="Times New Roman"/>
          <w:sz w:val="28"/>
          <w:szCs w:val="28"/>
        </w:rPr>
        <w:t xml:space="preserve"> </w:t>
      </w:r>
      <w:r w:rsidR="00CF4AC0">
        <w:rPr>
          <w:rFonts w:ascii="Times New Roman" w:hAnsi="Times New Roman"/>
          <w:sz w:val="28"/>
          <w:szCs w:val="28"/>
        </w:rPr>
        <w:t>производства валового внутреннего продукта</w:t>
      </w:r>
      <w:r w:rsidR="00D377A4">
        <w:rPr>
          <w:rFonts w:ascii="Times New Roman" w:hAnsi="Times New Roman"/>
          <w:sz w:val="28"/>
          <w:szCs w:val="28"/>
        </w:rPr>
        <w:t xml:space="preserve"> </w:t>
      </w:r>
      <w:r w:rsidR="00210A93">
        <w:rPr>
          <w:rFonts w:ascii="Times New Roman" w:hAnsi="Times New Roman"/>
          <w:sz w:val="28"/>
          <w:szCs w:val="28"/>
        </w:rPr>
        <w:t xml:space="preserve">и </w:t>
      </w:r>
      <w:r w:rsidR="00D377A4">
        <w:rPr>
          <w:rFonts w:ascii="Times New Roman" w:hAnsi="Times New Roman"/>
          <w:sz w:val="28"/>
          <w:szCs w:val="28"/>
        </w:rPr>
        <w:t>валовой добавленной стоимости, эффективного осуществления</w:t>
      </w:r>
      <w:r w:rsidR="00FD112C">
        <w:rPr>
          <w:rFonts w:ascii="Times New Roman" w:hAnsi="Times New Roman"/>
          <w:sz w:val="28"/>
          <w:szCs w:val="28"/>
        </w:rPr>
        <w:t xml:space="preserve"> </w:t>
      </w:r>
      <w:r w:rsidR="00B01A1F">
        <w:rPr>
          <w:rFonts w:ascii="Times New Roman" w:hAnsi="Times New Roman"/>
          <w:sz w:val="28"/>
          <w:szCs w:val="28"/>
        </w:rPr>
        <w:t>модернизации промышле</w:t>
      </w:r>
      <w:r w:rsidR="00B01A1F">
        <w:rPr>
          <w:rFonts w:ascii="Times New Roman" w:hAnsi="Times New Roman"/>
          <w:sz w:val="28"/>
          <w:szCs w:val="28"/>
        </w:rPr>
        <w:t>н</w:t>
      </w:r>
      <w:r w:rsidR="00B01A1F">
        <w:rPr>
          <w:rFonts w:ascii="Times New Roman" w:hAnsi="Times New Roman"/>
          <w:sz w:val="28"/>
          <w:szCs w:val="28"/>
        </w:rPr>
        <w:t>ного производства</w:t>
      </w:r>
      <w:r w:rsidR="00D377A4">
        <w:rPr>
          <w:rFonts w:ascii="Times New Roman" w:hAnsi="Times New Roman"/>
          <w:sz w:val="28"/>
          <w:szCs w:val="28"/>
        </w:rPr>
        <w:t xml:space="preserve"> и создания</w:t>
      </w:r>
      <w:r w:rsidR="00B01A1F">
        <w:rPr>
          <w:rFonts w:ascii="Times New Roman" w:hAnsi="Times New Roman"/>
          <w:sz w:val="28"/>
          <w:szCs w:val="28"/>
        </w:rPr>
        <w:t xml:space="preserve"> </w:t>
      </w:r>
      <w:r w:rsidR="00D377A4">
        <w:rPr>
          <w:rFonts w:ascii="Times New Roman" w:hAnsi="Times New Roman"/>
          <w:sz w:val="28"/>
          <w:szCs w:val="28"/>
        </w:rPr>
        <w:t xml:space="preserve">энергосервисных </w:t>
      </w:r>
      <w:r w:rsidR="00B01A1F">
        <w:rPr>
          <w:rFonts w:ascii="Times New Roman" w:hAnsi="Times New Roman"/>
          <w:sz w:val="28"/>
          <w:szCs w:val="28"/>
        </w:rPr>
        <w:t>институ</w:t>
      </w:r>
      <w:r w:rsidR="00D377A4">
        <w:rPr>
          <w:rFonts w:ascii="Times New Roman" w:hAnsi="Times New Roman"/>
          <w:sz w:val="28"/>
          <w:szCs w:val="28"/>
        </w:rPr>
        <w:t xml:space="preserve">тов в условиях глобализации рыночного хозяйства. </w:t>
      </w:r>
    </w:p>
    <w:p w:rsidR="00FF08E2" w:rsidRDefault="00620E39" w:rsidP="005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2669BF" w:rsidRPr="00CE53EE">
        <w:rPr>
          <w:rFonts w:ascii="Times New Roman" w:hAnsi="Times New Roman"/>
          <w:b/>
          <w:sz w:val="28"/>
          <w:szCs w:val="28"/>
        </w:rPr>
        <w:t>мпирическая база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D377A4">
        <w:rPr>
          <w:rFonts w:ascii="Times New Roman" w:hAnsi="Times New Roman"/>
          <w:sz w:val="28"/>
          <w:szCs w:val="28"/>
        </w:rPr>
        <w:t xml:space="preserve">заключается в совокупности </w:t>
      </w:r>
      <w:r w:rsidR="00264CDE">
        <w:rPr>
          <w:rFonts w:ascii="Times New Roman" w:hAnsi="Times New Roman"/>
          <w:sz w:val="28"/>
          <w:szCs w:val="28"/>
        </w:rPr>
        <w:t>стат</w:t>
      </w:r>
      <w:r w:rsidR="00264CDE">
        <w:rPr>
          <w:rFonts w:ascii="Times New Roman" w:hAnsi="Times New Roman"/>
          <w:sz w:val="28"/>
          <w:szCs w:val="28"/>
        </w:rPr>
        <w:t>и</w:t>
      </w:r>
      <w:r w:rsidR="00264CDE">
        <w:rPr>
          <w:rFonts w:ascii="Times New Roman" w:hAnsi="Times New Roman"/>
          <w:sz w:val="28"/>
          <w:szCs w:val="28"/>
        </w:rPr>
        <w:t>стически</w:t>
      </w:r>
      <w:r w:rsidR="00D377A4">
        <w:rPr>
          <w:rFonts w:ascii="Times New Roman" w:hAnsi="Times New Roman"/>
          <w:sz w:val="28"/>
          <w:szCs w:val="28"/>
        </w:rPr>
        <w:t>х</w:t>
      </w:r>
      <w:r w:rsidR="00264CDE" w:rsidRPr="003049D5">
        <w:rPr>
          <w:rFonts w:ascii="Times New Roman" w:hAnsi="Times New Roman"/>
          <w:sz w:val="28"/>
          <w:szCs w:val="28"/>
        </w:rPr>
        <w:t xml:space="preserve"> данны</w:t>
      </w:r>
      <w:r w:rsidR="00D377A4">
        <w:rPr>
          <w:rFonts w:ascii="Times New Roman" w:hAnsi="Times New Roman"/>
          <w:sz w:val="28"/>
          <w:szCs w:val="28"/>
        </w:rPr>
        <w:t>х</w:t>
      </w:r>
      <w:r w:rsidR="00DC76B3">
        <w:rPr>
          <w:rFonts w:ascii="Times New Roman" w:hAnsi="Times New Roman"/>
          <w:sz w:val="28"/>
          <w:szCs w:val="28"/>
        </w:rPr>
        <w:t xml:space="preserve"> </w:t>
      </w:r>
      <w:r w:rsidR="00D02EE7">
        <w:rPr>
          <w:rFonts w:ascii="Times New Roman" w:hAnsi="Times New Roman"/>
          <w:sz w:val="28"/>
          <w:szCs w:val="28"/>
        </w:rPr>
        <w:t xml:space="preserve">Международного валютного фонда, </w:t>
      </w:r>
      <w:r w:rsidR="00816D28" w:rsidRPr="003049D5">
        <w:rPr>
          <w:rFonts w:ascii="Times New Roman" w:hAnsi="Times New Roman"/>
          <w:sz w:val="28"/>
          <w:szCs w:val="28"/>
        </w:rPr>
        <w:t>Федеральной службы государс</w:t>
      </w:r>
      <w:r w:rsidR="00816D28" w:rsidRPr="003049D5">
        <w:rPr>
          <w:rFonts w:ascii="Times New Roman" w:hAnsi="Times New Roman"/>
          <w:sz w:val="28"/>
          <w:szCs w:val="28"/>
        </w:rPr>
        <w:t>т</w:t>
      </w:r>
      <w:r w:rsidR="00816D28" w:rsidRPr="003049D5">
        <w:rPr>
          <w:rFonts w:ascii="Times New Roman" w:hAnsi="Times New Roman"/>
          <w:sz w:val="28"/>
          <w:szCs w:val="28"/>
        </w:rPr>
        <w:t>венной статистики Российской Федерации</w:t>
      </w:r>
      <w:r w:rsidR="00D377A4">
        <w:rPr>
          <w:rFonts w:ascii="Times New Roman" w:hAnsi="Times New Roman"/>
          <w:sz w:val="28"/>
          <w:szCs w:val="28"/>
        </w:rPr>
        <w:t xml:space="preserve">, </w:t>
      </w:r>
      <w:r w:rsidR="00D377A4" w:rsidRPr="00D377A4">
        <w:rPr>
          <w:rFonts w:ascii="Times New Roman" w:hAnsi="Times New Roman"/>
          <w:sz w:val="28"/>
          <w:szCs w:val="28"/>
        </w:rPr>
        <w:t>Министерств</w:t>
      </w:r>
      <w:r w:rsidR="00D377A4">
        <w:rPr>
          <w:rFonts w:ascii="Times New Roman" w:hAnsi="Times New Roman"/>
          <w:sz w:val="28"/>
          <w:szCs w:val="28"/>
        </w:rPr>
        <w:t>а</w:t>
      </w:r>
      <w:r w:rsidR="00D377A4" w:rsidRPr="00D377A4">
        <w:rPr>
          <w:rFonts w:ascii="Times New Roman" w:hAnsi="Times New Roman"/>
          <w:sz w:val="28"/>
          <w:szCs w:val="28"/>
        </w:rPr>
        <w:t xml:space="preserve"> энергетики Российской Федерации</w:t>
      </w:r>
      <w:r w:rsidR="00D377A4">
        <w:rPr>
          <w:rFonts w:ascii="Times New Roman" w:hAnsi="Times New Roman"/>
          <w:sz w:val="28"/>
          <w:szCs w:val="28"/>
        </w:rPr>
        <w:t xml:space="preserve">, </w:t>
      </w:r>
      <w:r w:rsidR="00D02EE7" w:rsidRPr="00D02EE7">
        <w:rPr>
          <w:rFonts w:ascii="Times New Roman" w:hAnsi="Times New Roman"/>
          <w:sz w:val="28"/>
          <w:szCs w:val="28"/>
        </w:rPr>
        <w:t>Федерально</w:t>
      </w:r>
      <w:r w:rsidR="00D02EE7">
        <w:rPr>
          <w:rFonts w:ascii="Times New Roman" w:hAnsi="Times New Roman"/>
          <w:sz w:val="28"/>
          <w:szCs w:val="28"/>
        </w:rPr>
        <w:t>го казначейства, материалов и отчетов М</w:t>
      </w:r>
      <w:r w:rsidR="00D02EE7" w:rsidRPr="00D02EE7">
        <w:rPr>
          <w:rFonts w:ascii="Times New Roman" w:hAnsi="Times New Roman"/>
          <w:sz w:val="28"/>
          <w:szCs w:val="28"/>
        </w:rPr>
        <w:t>еждународно</w:t>
      </w:r>
      <w:r w:rsidR="00D02EE7">
        <w:rPr>
          <w:rFonts w:ascii="Times New Roman" w:hAnsi="Times New Roman"/>
          <w:sz w:val="28"/>
          <w:szCs w:val="28"/>
        </w:rPr>
        <w:t>го</w:t>
      </w:r>
      <w:r w:rsidR="00D02EE7" w:rsidRPr="00D02EE7">
        <w:rPr>
          <w:rFonts w:ascii="Times New Roman" w:hAnsi="Times New Roman"/>
          <w:sz w:val="28"/>
          <w:szCs w:val="28"/>
        </w:rPr>
        <w:t xml:space="preserve"> энергетическо</w:t>
      </w:r>
      <w:r w:rsidR="00D02EE7">
        <w:rPr>
          <w:rFonts w:ascii="Times New Roman" w:hAnsi="Times New Roman"/>
          <w:sz w:val="28"/>
          <w:szCs w:val="28"/>
        </w:rPr>
        <w:t>го</w:t>
      </w:r>
      <w:r w:rsidR="00D02EE7" w:rsidRPr="00D02EE7">
        <w:rPr>
          <w:rFonts w:ascii="Times New Roman" w:hAnsi="Times New Roman"/>
          <w:sz w:val="28"/>
          <w:szCs w:val="28"/>
        </w:rPr>
        <w:t xml:space="preserve"> агентств</w:t>
      </w:r>
      <w:r w:rsidR="00D02EE7">
        <w:rPr>
          <w:rFonts w:ascii="Times New Roman" w:hAnsi="Times New Roman"/>
          <w:sz w:val="28"/>
          <w:szCs w:val="28"/>
        </w:rPr>
        <w:t>а,</w:t>
      </w:r>
      <w:r w:rsidR="00D02EE7" w:rsidRPr="00D02EE7">
        <w:rPr>
          <w:rFonts w:ascii="Times New Roman" w:hAnsi="Times New Roman"/>
          <w:sz w:val="28"/>
          <w:szCs w:val="28"/>
        </w:rPr>
        <w:t xml:space="preserve"> </w:t>
      </w:r>
      <w:r w:rsidR="00FF08E2" w:rsidRPr="00FF08E2">
        <w:rPr>
          <w:rFonts w:ascii="Times New Roman" w:hAnsi="Times New Roman"/>
          <w:sz w:val="28"/>
          <w:szCs w:val="28"/>
        </w:rPr>
        <w:t>Счетн</w:t>
      </w:r>
      <w:r w:rsidR="00D02EE7">
        <w:rPr>
          <w:rFonts w:ascii="Times New Roman" w:hAnsi="Times New Roman"/>
          <w:sz w:val="28"/>
          <w:szCs w:val="28"/>
        </w:rPr>
        <w:t>ой</w:t>
      </w:r>
      <w:r w:rsidR="00FF08E2" w:rsidRPr="00FF08E2">
        <w:rPr>
          <w:rFonts w:ascii="Times New Roman" w:hAnsi="Times New Roman"/>
          <w:sz w:val="28"/>
          <w:szCs w:val="28"/>
        </w:rPr>
        <w:t xml:space="preserve"> палат</w:t>
      </w:r>
      <w:r w:rsidR="00D02EE7">
        <w:rPr>
          <w:rFonts w:ascii="Times New Roman" w:hAnsi="Times New Roman"/>
          <w:sz w:val="28"/>
          <w:szCs w:val="28"/>
        </w:rPr>
        <w:t>ы</w:t>
      </w:r>
      <w:r w:rsidR="00FF08E2" w:rsidRPr="00FF08E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02EE7">
        <w:rPr>
          <w:rFonts w:ascii="Times New Roman" w:hAnsi="Times New Roman"/>
          <w:sz w:val="28"/>
          <w:szCs w:val="28"/>
        </w:rPr>
        <w:t xml:space="preserve">, ряда общественных и научных организаций. В работе использованы </w:t>
      </w:r>
      <w:r w:rsidR="00D02EE7" w:rsidRPr="00FF08E2">
        <w:rPr>
          <w:rFonts w:ascii="Times New Roman" w:hAnsi="Times New Roman"/>
          <w:sz w:val="28"/>
          <w:szCs w:val="28"/>
        </w:rPr>
        <w:t>Федеральны</w:t>
      </w:r>
      <w:r w:rsidR="00D02EE7">
        <w:rPr>
          <w:rFonts w:ascii="Times New Roman" w:hAnsi="Times New Roman"/>
          <w:sz w:val="28"/>
          <w:szCs w:val="28"/>
        </w:rPr>
        <w:t>е</w:t>
      </w:r>
      <w:r w:rsidR="00D02EE7" w:rsidRPr="00FF08E2">
        <w:rPr>
          <w:rFonts w:ascii="Times New Roman" w:hAnsi="Times New Roman"/>
          <w:sz w:val="28"/>
          <w:szCs w:val="28"/>
        </w:rPr>
        <w:t xml:space="preserve"> закон</w:t>
      </w:r>
      <w:r w:rsidR="00D02EE7">
        <w:rPr>
          <w:rFonts w:ascii="Times New Roman" w:hAnsi="Times New Roman"/>
          <w:sz w:val="28"/>
          <w:szCs w:val="28"/>
        </w:rPr>
        <w:t>ы</w:t>
      </w:r>
      <w:r w:rsidR="00D02EE7" w:rsidRPr="00FF08E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E30F1">
        <w:rPr>
          <w:rFonts w:ascii="Times New Roman" w:hAnsi="Times New Roman"/>
          <w:sz w:val="28"/>
          <w:szCs w:val="28"/>
        </w:rPr>
        <w:t>,</w:t>
      </w:r>
      <w:r w:rsidR="00D02EE7">
        <w:rPr>
          <w:rFonts w:ascii="Times New Roman" w:hAnsi="Times New Roman"/>
          <w:sz w:val="28"/>
          <w:szCs w:val="28"/>
        </w:rPr>
        <w:t xml:space="preserve"> </w:t>
      </w:r>
      <w:r w:rsidR="00FF08E2" w:rsidRPr="00FF08E2">
        <w:rPr>
          <w:rFonts w:ascii="Times New Roman" w:hAnsi="Times New Roman"/>
          <w:sz w:val="28"/>
          <w:szCs w:val="28"/>
        </w:rPr>
        <w:t>Указ</w:t>
      </w:r>
      <w:r w:rsidR="00D02EE7">
        <w:rPr>
          <w:rFonts w:ascii="Times New Roman" w:hAnsi="Times New Roman"/>
          <w:sz w:val="28"/>
          <w:szCs w:val="28"/>
        </w:rPr>
        <w:t>ы</w:t>
      </w:r>
      <w:r w:rsidR="00FF08E2" w:rsidRPr="00FF08E2">
        <w:rPr>
          <w:rFonts w:ascii="Times New Roman" w:hAnsi="Times New Roman"/>
          <w:sz w:val="28"/>
          <w:szCs w:val="28"/>
        </w:rPr>
        <w:t xml:space="preserve"> Президента РФ</w:t>
      </w:r>
      <w:r w:rsidR="001E30F1">
        <w:rPr>
          <w:rFonts w:ascii="Times New Roman" w:hAnsi="Times New Roman"/>
          <w:sz w:val="28"/>
          <w:szCs w:val="28"/>
        </w:rPr>
        <w:t xml:space="preserve"> и действующие нормативные акты в области хозяйственной деятельности. </w:t>
      </w:r>
    </w:p>
    <w:p w:rsidR="0004705D" w:rsidRDefault="00264CDE" w:rsidP="00D11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CE53EE">
        <w:rPr>
          <w:rFonts w:ascii="Times New Roman" w:hAnsi="Times New Roman"/>
          <w:sz w:val="28"/>
          <w:szCs w:val="28"/>
        </w:rPr>
        <w:t>.</w:t>
      </w:r>
      <w:r w:rsidR="00B00CDB">
        <w:rPr>
          <w:rFonts w:ascii="Times New Roman" w:hAnsi="Times New Roman"/>
          <w:sz w:val="28"/>
          <w:szCs w:val="28"/>
        </w:rPr>
        <w:t xml:space="preserve"> </w:t>
      </w:r>
      <w:r w:rsidR="001E30F1">
        <w:rPr>
          <w:rFonts w:ascii="Times New Roman" w:hAnsi="Times New Roman"/>
          <w:sz w:val="28"/>
          <w:szCs w:val="28"/>
        </w:rPr>
        <w:t>В основу м</w:t>
      </w:r>
      <w:r w:rsidR="002B2E98">
        <w:rPr>
          <w:rFonts w:ascii="Times New Roman" w:hAnsi="Times New Roman"/>
          <w:sz w:val="28"/>
          <w:szCs w:val="28"/>
        </w:rPr>
        <w:t>етодологи</w:t>
      </w:r>
      <w:r w:rsidR="001E30F1">
        <w:rPr>
          <w:rFonts w:ascii="Times New Roman" w:hAnsi="Times New Roman"/>
          <w:sz w:val="28"/>
          <w:szCs w:val="28"/>
        </w:rPr>
        <w:t>и данного</w:t>
      </w:r>
      <w:r w:rsidR="002B2E98">
        <w:rPr>
          <w:rFonts w:ascii="Times New Roman" w:hAnsi="Times New Roman"/>
          <w:sz w:val="28"/>
          <w:szCs w:val="28"/>
        </w:rPr>
        <w:t xml:space="preserve"> диссертационн</w:t>
      </w:r>
      <w:r w:rsidR="002B2E98">
        <w:rPr>
          <w:rFonts w:ascii="Times New Roman" w:hAnsi="Times New Roman"/>
          <w:sz w:val="28"/>
          <w:szCs w:val="28"/>
        </w:rPr>
        <w:t>о</w:t>
      </w:r>
      <w:r w:rsidR="002B2E98">
        <w:rPr>
          <w:rFonts w:ascii="Times New Roman" w:hAnsi="Times New Roman"/>
          <w:sz w:val="28"/>
          <w:szCs w:val="28"/>
        </w:rPr>
        <w:t>го исслед</w:t>
      </w:r>
      <w:r w:rsidR="002B2E98">
        <w:rPr>
          <w:rFonts w:ascii="Times New Roman" w:hAnsi="Times New Roman"/>
          <w:sz w:val="28"/>
          <w:szCs w:val="28"/>
        </w:rPr>
        <w:t>о</w:t>
      </w:r>
      <w:r w:rsidR="002B2E98">
        <w:rPr>
          <w:rFonts w:ascii="Times New Roman" w:hAnsi="Times New Roman"/>
          <w:sz w:val="28"/>
          <w:szCs w:val="28"/>
        </w:rPr>
        <w:t xml:space="preserve">вания </w:t>
      </w:r>
      <w:r w:rsidR="001E30F1">
        <w:rPr>
          <w:rFonts w:ascii="Times New Roman" w:hAnsi="Times New Roman"/>
          <w:sz w:val="28"/>
          <w:szCs w:val="28"/>
        </w:rPr>
        <w:t xml:space="preserve">были положены основные </w:t>
      </w:r>
      <w:r w:rsidR="002B2E98">
        <w:rPr>
          <w:rFonts w:ascii="Times New Roman" w:hAnsi="Times New Roman"/>
          <w:sz w:val="28"/>
          <w:szCs w:val="28"/>
        </w:rPr>
        <w:t xml:space="preserve">требования системного подхода. </w:t>
      </w:r>
      <w:r w:rsidR="001E30F1">
        <w:rPr>
          <w:rFonts w:ascii="Times New Roman" w:hAnsi="Times New Roman"/>
          <w:sz w:val="28"/>
          <w:szCs w:val="28"/>
        </w:rPr>
        <w:t>Конкретные вопросы исследования решались посредством использования</w:t>
      </w:r>
      <w:r w:rsidR="002B2E98">
        <w:rPr>
          <w:rFonts w:ascii="Times New Roman" w:hAnsi="Times New Roman"/>
          <w:sz w:val="28"/>
          <w:szCs w:val="28"/>
        </w:rPr>
        <w:t xml:space="preserve"> таки</w:t>
      </w:r>
      <w:r w:rsidR="001E30F1">
        <w:rPr>
          <w:rFonts w:ascii="Times New Roman" w:hAnsi="Times New Roman"/>
          <w:sz w:val="28"/>
          <w:szCs w:val="28"/>
        </w:rPr>
        <w:t>х научных</w:t>
      </w:r>
      <w:r w:rsidR="002B2E98">
        <w:rPr>
          <w:rFonts w:ascii="Times New Roman" w:hAnsi="Times New Roman"/>
          <w:sz w:val="28"/>
          <w:szCs w:val="28"/>
        </w:rPr>
        <w:t xml:space="preserve"> прием</w:t>
      </w:r>
      <w:r w:rsidR="001E30F1">
        <w:rPr>
          <w:rFonts w:ascii="Times New Roman" w:hAnsi="Times New Roman"/>
          <w:sz w:val="28"/>
          <w:szCs w:val="28"/>
        </w:rPr>
        <w:t>ов</w:t>
      </w:r>
      <w:r w:rsidR="002B2E98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теорети</w:t>
      </w:r>
      <w:r w:rsidR="00B00CDB">
        <w:rPr>
          <w:rFonts w:ascii="Times New Roman" w:hAnsi="Times New Roman"/>
          <w:sz w:val="28"/>
          <w:szCs w:val="28"/>
        </w:rPr>
        <w:t>чески</w:t>
      </w:r>
      <w:r w:rsidR="0081003F">
        <w:rPr>
          <w:rFonts w:ascii="Times New Roman" w:hAnsi="Times New Roman"/>
          <w:sz w:val="28"/>
          <w:szCs w:val="28"/>
        </w:rPr>
        <w:t>е</w:t>
      </w:r>
      <w:r w:rsidR="00B00CDB">
        <w:rPr>
          <w:rFonts w:ascii="Times New Roman" w:hAnsi="Times New Roman"/>
          <w:sz w:val="28"/>
          <w:szCs w:val="28"/>
        </w:rPr>
        <w:t xml:space="preserve"> </w:t>
      </w:r>
      <w:r w:rsidR="0010242E">
        <w:rPr>
          <w:rFonts w:ascii="Times New Roman" w:hAnsi="Times New Roman"/>
          <w:sz w:val="28"/>
          <w:szCs w:val="28"/>
        </w:rPr>
        <w:t xml:space="preserve">и </w:t>
      </w:r>
      <w:r w:rsidR="0081003F">
        <w:rPr>
          <w:rFonts w:ascii="Times New Roman" w:hAnsi="Times New Roman"/>
          <w:sz w:val="28"/>
          <w:szCs w:val="28"/>
        </w:rPr>
        <w:t xml:space="preserve">аналитические </w:t>
      </w:r>
      <w:r>
        <w:rPr>
          <w:rFonts w:ascii="Times New Roman" w:hAnsi="Times New Roman"/>
          <w:sz w:val="28"/>
          <w:szCs w:val="28"/>
        </w:rPr>
        <w:t>обобщени</w:t>
      </w:r>
      <w:r w:rsidR="0081003F">
        <w:rPr>
          <w:rFonts w:ascii="Times New Roman" w:hAnsi="Times New Roman"/>
          <w:sz w:val="28"/>
          <w:szCs w:val="28"/>
        </w:rPr>
        <w:t>я,</w:t>
      </w:r>
      <w:r w:rsidR="0081003F" w:rsidRPr="0081003F">
        <w:rPr>
          <w:rFonts w:ascii="Times New Roman" w:hAnsi="Times New Roman"/>
          <w:sz w:val="28"/>
          <w:szCs w:val="28"/>
        </w:rPr>
        <w:t xml:space="preserve"> </w:t>
      </w:r>
      <w:r w:rsidR="001E30F1">
        <w:rPr>
          <w:rFonts w:ascii="Times New Roman" w:hAnsi="Times New Roman"/>
          <w:sz w:val="28"/>
          <w:szCs w:val="28"/>
        </w:rPr>
        <w:t xml:space="preserve">анализ и синтез, </w:t>
      </w:r>
      <w:r w:rsidR="0010242E" w:rsidRPr="00F31449">
        <w:rPr>
          <w:rFonts w:ascii="Times New Roman" w:hAnsi="Times New Roman"/>
          <w:sz w:val="28"/>
          <w:szCs w:val="28"/>
        </w:rPr>
        <w:t>статистич</w:t>
      </w:r>
      <w:r w:rsidR="0010242E" w:rsidRPr="00F31449">
        <w:rPr>
          <w:rFonts w:ascii="Times New Roman" w:hAnsi="Times New Roman"/>
          <w:sz w:val="28"/>
          <w:szCs w:val="28"/>
        </w:rPr>
        <w:t>е</w:t>
      </w:r>
      <w:r w:rsidR="0010242E" w:rsidRPr="00F31449">
        <w:rPr>
          <w:rFonts w:ascii="Times New Roman" w:hAnsi="Times New Roman"/>
          <w:sz w:val="28"/>
          <w:szCs w:val="28"/>
        </w:rPr>
        <w:t>ски</w:t>
      </w:r>
      <w:r w:rsidR="0010242E">
        <w:rPr>
          <w:rFonts w:ascii="Times New Roman" w:hAnsi="Times New Roman"/>
          <w:sz w:val="28"/>
          <w:szCs w:val="28"/>
        </w:rPr>
        <w:t>е</w:t>
      </w:r>
      <w:r w:rsidR="0010242E" w:rsidRPr="00F31449">
        <w:rPr>
          <w:rFonts w:ascii="Times New Roman" w:hAnsi="Times New Roman"/>
          <w:sz w:val="28"/>
          <w:szCs w:val="28"/>
        </w:rPr>
        <w:t xml:space="preserve"> группиров</w:t>
      </w:r>
      <w:r w:rsidR="0010242E">
        <w:rPr>
          <w:rFonts w:ascii="Times New Roman" w:hAnsi="Times New Roman"/>
          <w:sz w:val="28"/>
          <w:szCs w:val="28"/>
        </w:rPr>
        <w:t>ки</w:t>
      </w:r>
      <w:r w:rsidR="0010242E" w:rsidRPr="00F31449">
        <w:rPr>
          <w:rFonts w:ascii="Times New Roman" w:hAnsi="Times New Roman"/>
          <w:sz w:val="28"/>
          <w:szCs w:val="28"/>
        </w:rPr>
        <w:t>,</w:t>
      </w:r>
      <w:r w:rsidR="0010242E">
        <w:rPr>
          <w:rFonts w:ascii="Times New Roman" w:hAnsi="Times New Roman"/>
          <w:sz w:val="28"/>
          <w:szCs w:val="28"/>
        </w:rPr>
        <w:t xml:space="preserve"> </w:t>
      </w:r>
      <w:r w:rsidR="00286DEB">
        <w:rPr>
          <w:rFonts w:ascii="Times New Roman" w:hAnsi="Times New Roman"/>
          <w:sz w:val="28"/>
          <w:szCs w:val="28"/>
        </w:rPr>
        <w:t>функционально</w:t>
      </w:r>
      <w:r w:rsidR="0010242E">
        <w:rPr>
          <w:rFonts w:ascii="Times New Roman" w:hAnsi="Times New Roman"/>
          <w:sz w:val="28"/>
          <w:szCs w:val="28"/>
        </w:rPr>
        <w:t>-</w:t>
      </w:r>
      <w:r w:rsidR="00286DEB">
        <w:rPr>
          <w:rFonts w:ascii="Times New Roman" w:hAnsi="Times New Roman"/>
          <w:sz w:val="28"/>
          <w:szCs w:val="28"/>
        </w:rPr>
        <w:t>структурн</w:t>
      </w:r>
      <w:r w:rsidR="0010242E">
        <w:rPr>
          <w:rFonts w:ascii="Times New Roman" w:hAnsi="Times New Roman"/>
          <w:sz w:val="28"/>
          <w:szCs w:val="28"/>
        </w:rPr>
        <w:t>ый</w:t>
      </w:r>
      <w:r w:rsidR="00286DEB">
        <w:rPr>
          <w:rFonts w:ascii="Times New Roman" w:hAnsi="Times New Roman"/>
          <w:sz w:val="28"/>
          <w:szCs w:val="28"/>
        </w:rPr>
        <w:t xml:space="preserve"> </w:t>
      </w:r>
      <w:r w:rsidR="0010242E">
        <w:rPr>
          <w:rFonts w:ascii="Times New Roman" w:hAnsi="Times New Roman"/>
          <w:sz w:val="28"/>
          <w:szCs w:val="28"/>
        </w:rPr>
        <w:t>а</w:t>
      </w:r>
      <w:r w:rsidR="00286DEB" w:rsidRPr="00F31449">
        <w:rPr>
          <w:rFonts w:ascii="Times New Roman" w:hAnsi="Times New Roman"/>
          <w:sz w:val="28"/>
          <w:szCs w:val="28"/>
        </w:rPr>
        <w:t>нализ,</w:t>
      </w:r>
      <w:r w:rsidR="00286DEB">
        <w:rPr>
          <w:rFonts w:ascii="Times New Roman" w:hAnsi="Times New Roman"/>
          <w:sz w:val="28"/>
          <w:szCs w:val="28"/>
        </w:rPr>
        <w:t xml:space="preserve"> </w:t>
      </w:r>
      <w:r w:rsidR="00D116BC">
        <w:rPr>
          <w:rFonts w:ascii="Times New Roman" w:hAnsi="Times New Roman"/>
          <w:sz w:val="28"/>
          <w:szCs w:val="28"/>
        </w:rPr>
        <w:t>сравнения</w:t>
      </w:r>
      <w:r w:rsidR="001E30F1">
        <w:rPr>
          <w:rFonts w:ascii="Times New Roman" w:hAnsi="Times New Roman"/>
          <w:sz w:val="28"/>
          <w:szCs w:val="28"/>
        </w:rPr>
        <w:t>,</w:t>
      </w:r>
      <w:r w:rsidR="00D116BC">
        <w:rPr>
          <w:rFonts w:ascii="Times New Roman" w:hAnsi="Times New Roman"/>
          <w:sz w:val="28"/>
          <w:szCs w:val="28"/>
        </w:rPr>
        <w:t xml:space="preserve"> сопоставления, </w:t>
      </w:r>
      <w:r w:rsidR="001E30F1">
        <w:rPr>
          <w:rFonts w:ascii="Times New Roman" w:hAnsi="Times New Roman"/>
          <w:sz w:val="28"/>
          <w:szCs w:val="28"/>
        </w:rPr>
        <w:t xml:space="preserve">индексные </w:t>
      </w:r>
      <w:r w:rsidR="00D116BC">
        <w:rPr>
          <w:rFonts w:ascii="Times New Roman" w:hAnsi="Times New Roman"/>
          <w:sz w:val="28"/>
          <w:szCs w:val="28"/>
        </w:rPr>
        <w:t xml:space="preserve">расчеты, </w:t>
      </w:r>
      <w:r w:rsidR="00123AC1">
        <w:rPr>
          <w:rFonts w:ascii="Times New Roman" w:hAnsi="Times New Roman"/>
          <w:sz w:val="28"/>
          <w:szCs w:val="28"/>
        </w:rPr>
        <w:t>графическ</w:t>
      </w:r>
      <w:r w:rsidR="00D116BC">
        <w:rPr>
          <w:rFonts w:ascii="Times New Roman" w:hAnsi="Times New Roman"/>
          <w:sz w:val="28"/>
          <w:szCs w:val="28"/>
        </w:rPr>
        <w:t>ая</w:t>
      </w:r>
      <w:r w:rsidR="00123AC1">
        <w:rPr>
          <w:rFonts w:ascii="Times New Roman" w:hAnsi="Times New Roman"/>
          <w:sz w:val="28"/>
          <w:szCs w:val="28"/>
        </w:rPr>
        <w:t xml:space="preserve"> аналитик</w:t>
      </w:r>
      <w:r w:rsidR="00D116BC">
        <w:rPr>
          <w:rFonts w:ascii="Times New Roman" w:hAnsi="Times New Roman"/>
          <w:sz w:val="28"/>
          <w:szCs w:val="28"/>
        </w:rPr>
        <w:t>а</w:t>
      </w:r>
      <w:r w:rsidR="00123AC1">
        <w:rPr>
          <w:rFonts w:ascii="Times New Roman" w:hAnsi="Times New Roman"/>
          <w:sz w:val="28"/>
          <w:szCs w:val="28"/>
        </w:rPr>
        <w:t xml:space="preserve"> и </w:t>
      </w:r>
      <w:r w:rsidR="001E30F1">
        <w:rPr>
          <w:rFonts w:ascii="Times New Roman" w:hAnsi="Times New Roman"/>
          <w:sz w:val="28"/>
          <w:szCs w:val="28"/>
        </w:rPr>
        <w:t>ряд</w:t>
      </w:r>
      <w:r w:rsidR="00E73694">
        <w:rPr>
          <w:rFonts w:ascii="Times New Roman" w:hAnsi="Times New Roman"/>
          <w:sz w:val="28"/>
          <w:szCs w:val="28"/>
        </w:rPr>
        <w:t xml:space="preserve"> </w:t>
      </w:r>
      <w:r w:rsidR="00123AC1">
        <w:rPr>
          <w:rFonts w:ascii="Times New Roman" w:hAnsi="Times New Roman"/>
          <w:sz w:val="28"/>
          <w:szCs w:val="28"/>
        </w:rPr>
        <w:t>др</w:t>
      </w:r>
      <w:r w:rsidR="00E73694">
        <w:rPr>
          <w:rFonts w:ascii="Times New Roman" w:hAnsi="Times New Roman"/>
          <w:sz w:val="28"/>
          <w:szCs w:val="28"/>
        </w:rPr>
        <w:t>уги</w:t>
      </w:r>
      <w:r w:rsidR="001E30F1">
        <w:rPr>
          <w:rFonts w:ascii="Times New Roman" w:hAnsi="Times New Roman"/>
          <w:sz w:val="28"/>
          <w:szCs w:val="28"/>
        </w:rPr>
        <w:t>х</w:t>
      </w:r>
      <w:r w:rsidR="00123AC1">
        <w:rPr>
          <w:rFonts w:ascii="Times New Roman" w:hAnsi="Times New Roman"/>
          <w:sz w:val="28"/>
          <w:szCs w:val="28"/>
        </w:rPr>
        <w:t xml:space="preserve">. </w:t>
      </w:r>
    </w:p>
    <w:p w:rsidR="00E73694" w:rsidRDefault="001E30F1" w:rsidP="00D11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</w:t>
      </w:r>
      <w:r w:rsidR="00E73694">
        <w:rPr>
          <w:rFonts w:ascii="Times New Roman" w:hAnsi="Times New Roman"/>
          <w:sz w:val="28"/>
          <w:szCs w:val="28"/>
        </w:rPr>
        <w:t>использованных приемов и методов исследов</w:t>
      </w:r>
      <w:r w:rsidR="00E73694">
        <w:rPr>
          <w:rFonts w:ascii="Times New Roman" w:hAnsi="Times New Roman"/>
          <w:sz w:val="28"/>
          <w:szCs w:val="28"/>
        </w:rPr>
        <w:t>а</w:t>
      </w:r>
      <w:r w:rsidR="00E73694">
        <w:rPr>
          <w:rFonts w:ascii="Times New Roman" w:hAnsi="Times New Roman"/>
          <w:sz w:val="28"/>
          <w:szCs w:val="28"/>
        </w:rPr>
        <w:t xml:space="preserve">ния </w:t>
      </w:r>
      <w:r w:rsidR="00B234F0">
        <w:rPr>
          <w:rFonts w:ascii="Times New Roman" w:hAnsi="Times New Roman"/>
          <w:sz w:val="28"/>
          <w:szCs w:val="28"/>
        </w:rPr>
        <w:t>осуществлялся</w:t>
      </w:r>
      <w:r w:rsidR="00E73694">
        <w:rPr>
          <w:rFonts w:ascii="Times New Roman" w:hAnsi="Times New Roman"/>
          <w:sz w:val="28"/>
          <w:szCs w:val="28"/>
        </w:rPr>
        <w:t xml:space="preserve"> </w:t>
      </w:r>
      <w:r w:rsidR="00D6398E">
        <w:rPr>
          <w:rFonts w:ascii="Times New Roman" w:hAnsi="Times New Roman"/>
          <w:sz w:val="28"/>
          <w:szCs w:val="28"/>
        </w:rPr>
        <w:t xml:space="preserve">селективно в целях реализации </w:t>
      </w:r>
      <w:r w:rsidR="00E73694">
        <w:rPr>
          <w:rFonts w:ascii="Times New Roman" w:hAnsi="Times New Roman"/>
          <w:sz w:val="28"/>
          <w:szCs w:val="28"/>
        </w:rPr>
        <w:t xml:space="preserve">требований обеспечения </w:t>
      </w:r>
      <w:r w:rsidR="00B234F0">
        <w:rPr>
          <w:rFonts w:ascii="Times New Roman" w:hAnsi="Times New Roman"/>
          <w:sz w:val="28"/>
          <w:szCs w:val="28"/>
        </w:rPr>
        <w:t xml:space="preserve">научной </w:t>
      </w:r>
      <w:r w:rsidR="00E73694" w:rsidRPr="001D1770">
        <w:rPr>
          <w:rFonts w:ascii="Times New Roman" w:hAnsi="Times New Roman"/>
          <w:sz w:val="28"/>
          <w:szCs w:val="28"/>
        </w:rPr>
        <w:t>достоверн</w:t>
      </w:r>
      <w:r w:rsidR="00E73694" w:rsidRPr="001D1770">
        <w:rPr>
          <w:rFonts w:ascii="Times New Roman" w:hAnsi="Times New Roman"/>
          <w:sz w:val="28"/>
          <w:szCs w:val="28"/>
        </w:rPr>
        <w:t>о</w:t>
      </w:r>
      <w:r w:rsidR="00E73694" w:rsidRPr="001D1770">
        <w:rPr>
          <w:rFonts w:ascii="Times New Roman" w:hAnsi="Times New Roman"/>
          <w:sz w:val="28"/>
          <w:szCs w:val="28"/>
        </w:rPr>
        <w:t>ст</w:t>
      </w:r>
      <w:r w:rsidR="00E73694">
        <w:rPr>
          <w:rFonts w:ascii="Times New Roman" w:hAnsi="Times New Roman"/>
          <w:sz w:val="28"/>
          <w:szCs w:val="28"/>
        </w:rPr>
        <w:t>и</w:t>
      </w:r>
      <w:r w:rsidR="00E73694" w:rsidRPr="001D1770">
        <w:rPr>
          <w:rFonts w:ascii="Times New Roman" w:hAnsi="Times New Roman"/>
          <w:sz w:val="28"/>
          <w:szCs w:val="28"/>
        </w:rPr>
        <w:t xml:space="preserve"> </w:t>
      </w:r>
      <w:r w:rsidR="00E73694">
        <w:rPr>
          <w:rFonts w:ascii="Times New Roman" w:hAnsi="Times New Roman"/>
          <w:sz w:val="28"/>
          <w:szCs w:val="28"/>
        </w:rPr>
        <w:t>полученных результатов, выявленных тенденций</w:t>
      </w:r>
      <w:r w:rsidR="00E73694" w:rsidRPr="001D1770">
        <w:rPr>
          <w:rFonts w:ascii="Times New Roman" w:hAnsi="Times New Roman"/>
          <w:sz w:val="28"/>
          <w:szCs w:val="28"/>
        </w:rPr>
        <w:t xml:space="preserve"> и </w:t>
      </w:r>
      <w:r w:rsidR="00B234F0">
        <w:rPr>
          <w:rFonts w:ascii="Times New Roman" w:hAnsi="Times New Roman"/>
          <w:sz w:val="28"/>
          <w:szCs w:val="28"/>
        </w:rPr>
        <w:t xml:space="preserve">разработанных </w:t>
      </w:r>
      <w:r w:rsidR="00E73694" w:rsidRPr="001D1770">
        <w:rPr>
          <w:rFonts w:ascii="Times New Roman" w:hAnsi="Times New Roman"/>
          <w:sz w:val="28"/>
          <w:szCs w:val="28"/>
        </w:rPr>
        <w:t xml:space="preserve">практических </w:t>
      </w:r>
      <w:r w:rsidR="00E73694">
        <w:rPr>
          <w:rFonts w:ascii="Times New Roman" w:hAnsi="Times New Roman"/>
          <w:sz w:val="28"/>
          <w:szCs w:val="28"/>
        </w:rPr>
        <w:t>предложений.</w:t>
      </w:r>
      <w:r w:rsidR="00D6398E">
        <w:rPr>
          <w:rFonts w:ascii="Times New Roman" w:hAnsi="Times New Roman"/>
          <w:sz w:val="28"/>
          <w:szCs w:val="28"/>
        </w:rPr>
        <w:t xml:space="preserve"> </w:t>
      </w:r>
    </w:p>
    <w:p w:rsidR="00D6398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331">
        <w:rPr>
          <w:rFonts w:ascii="Times New Roman" w:hAnsi="Times New Roman"/>
          <w:b/>
          <w:sz w:val="28"/>
          <w:szCs w:val="28"/>
        </w:rPr>
        <w:t>Научная новизна диссертационного исследования</w:t>
      </w:r>
      <w:r w:rsidRPr="00F2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заключается в </w:t>
      </w:r>
      <w:r w:rsidR="00FB20C8">
        <w:rPr>
          <w:rFonts w:ascii="Times New Roman" w:hAnsi="Times New Roman"/>
          <w:sz w:val="28"/>
          <w:szCs w:val="28"/>
        </w:rPr>
        <w:t>ра</w:t>
      </w:r>
      <w:r w:rsidR="00FB20C8">
        <w:rPr>
          <w:rFonts w:ascii="Times New Roman" w:hAnsi="Times New Roman"/>
          <w:sz w:val="28"/>
          <w:szCs w:val="28"/>
        </w:rPr>
        <w:t>з</w:t>
      </w:r>
      <w:r w:rsidR="00FB20C8">
        <w:rPr>
          <w:rFonts w:ascii="Times New Roman" w:hAnsi="Times New Roman"/>
          <w:sz w:val="28"/>
          <w:szCs w:val="28"/>
        </w:rPr>
        <w:t>работке организационно-</w:t>
      </w:r>
      <w:r w:rsidR="00FB20C8" w:rsidRPr="002F7BFF">
        <w:rPr>
          <w:rFonts w:ascii="Times New Roman" w:hAnsi="Times New Roman"/>
          <w:sz w:val="28"/>
          <w:szCs w:val="28"/>
        </w:rPr>
        <w:t>экономи</w:t>
      </w:r>
      <w:r w:rsidR="00FB20C8">
        <w:rPr>
          <w:rFonts w:ascii="Times New Roman" w:hAnsi="Times New Roman"/>
          <w:sz w:val="28"/>
          <w:szCs w:val="28"/>
        </w:rPr>
        <w:t xml:space="preserve">ческих и </w:t>
      </w:r>
      <w:r w:rsidR="00FB20C8" w:rsidRPr="002F7BFF">
        <w:rPr>
          <w:rFonts w:ascii="Times New Roman" w:hAnsi="Times New Roman"/>
          <w:sz w:val="28"/>
          <w:szCs w:val="28"/>
        </w:rPr>
        <w:t>сервисн</w:t>
      </w:r>
      <w:r w:rsidR="00FB20C8">
        <w:rPr>
          <w:rFonts w:ascii="Times New Roman" w:hAnsi="Times New Roman"/>
          <w:sz w:val="28"/>
          <w:szCs w:val="28"/>
        </w:rPr>
        <w:t>о-кластерных</w:t>
      </w:r>
      <w:r w:rsidR="00FB20C8" w:rsidRPr="002F7BFF">
        <w:rPr>
          <w:rFonts w:ascii="Times New Roman" w:hAnsi="Times New Roman"/>
          <w:sz w:val="28"/>
          <w:szCs w:val="28"/>
        </w:rPr>
        <w:t xml:space="preserve"> механизм</w:t>
      </w:r>
      <w:r w:rsidR="00FB20C8">
        <w:rPr>
          <w:rFonts w:ascii="Times New Roman" w:hAnsi="Times New Roman"/>
          <w:sz w:val="28"/>
          <w:szCs w:val="28"/>
        </w:rPr>
        <w:t>ов</w:t>
      </w:r>
      <w:r w:rsidR="00FB20C8" w:rsidRPr="002F7BFF">
        <w:rPr>
          <w:rFonts w:ascii="Times New Roman" w:hAnsi="Times New Roman"/>
          <w:sz w:val="28"/>
          <w:szCs w:val="28"/>
        </w:rPr>
        <w:t xml:space="preserve"> снижения </w:t>
      </w:r>
      <w:r w:rsidR="00E95F43">
        <w:rPr>
          <w:rFonts w:ascii="Times New Roman" w:hAnsi="Times New Roman"/>
          <w:sz w:val="28"/>
          <w:szCs w:val="28"/>
        </w:rPr>
        <w:t xml:space="preserve">энергоемкости российской промышленности </w:t>
      </w:r>
      <w:r w:rsidR="00FB20C8">
        <w:rPr>
          <w:rFonts w:ascii="Times New Roman" w:hAnsi="Times New Roman"/>
          <w:sz w:val="28"/>
          <w:szCs w:val="28"/>
        </w:rPr>
        <w:t xml:space="preserve">при активном использовании возможностей </w:t>
      </w:r>
      <w:r w:rsidR="00FB20C8" w:rsidRPr="00A873E2">
        <w:rPr>
          <w:rFonts w:ascii="Times New Roman" w:hAnsi="Times New Roman"/>
          <w:sz w:val="28"/>
          <w:szCs w:val="28"/>
        </w:rPr>
        <w:t>госу</w:t>
      </w:r>
      <w:r w:rsidR="00FB20C8">
        <w:rPr>
          <w:rFonts w:ascii="Times New Roman" w:hAnsi="Times New Roman"/>
          <w:sz w:val="28"/>
          <w:szCs w:val="28"/>
        </w:rPr>
        <w:t>дарственно-частного партнерства на основе комплексной</w:t>
      </w:r>
      <w:r w:rsidR="00D6398E">
        <w:rPr>
          <w:rFonts w:ascii="Times New Roman" w:hAnsi="Times New Roman"/>
          <w:sz w:val="28"/>
          <w:szCs w:val="28"/>
        </w:rPr>
        <w:t xml:space="preserve"> научной оценк</w:t>
      </w:r>
      <w:r w:rsidR="00E95F43">
        <w:rPr>
          <w:rFonts w:ascii="Times New Roman" w:hAnsi="Times New Roman"/>
          <w:sz w:val="28"/>
          <w:szCs w:val="28"/>
        </w:rPr>
        <w:t>и</w:t>
      </w:r>
      <w:r w:rsidR="00D6398E">
        <w:rPr>
          <w:rFonts w:ascii="Times New Roman" w:hAnsi="Times New Roman"/>
          <w:sz w:val="28"/>
          <w:szCs w:val="28"/>
        </w:rPr>
        <w:t xml:space="preserve"> тенденций </w:t>
      </w:r>
      <w:r w:rsidR="00E95F43">
        <w:rPr>
          <w:rFonts w:ascii="Times New Roman" w:hAnsi="Times New Roman"/>
          <w:sz w:val="28"/>
          <w:szCs w:val="28"/>
        </w:rPr>
        <w:t xml:space="preserve">использования </w:t>
      </w:r>
      <w:r w:rsidR="00D6398E">
        <w:rPr>
          <w:rFonts w:ascii="Times New Roman" w:hAnsi="Times New Roman"/>
          <w:sz w:val="28"/>
          <w:szCs w:val="28"/>
        </w:rPr>
        <w:t xml:space="preserve">и </w:t>
      </w:r>
      <w:r w:rsidR="00E95F43">
        <w:rPr>
          <w:rFonts w:ascii="Times New Roman" w:hAnsi="Times New Roman"/>
          <w:sz w:val="28"/>
          <w:szCs w:val="28"/>
        </w:rPr>
        <w:t xml:space="preserve">определения </w:t>
      </w:r>
      <w:r w:rsidR="00FB20C8">
        <w:rPr>
          <w:rFonts w:ascii="Times New Roman" w:hAnsi="Times New Roman"/>
          <w:sz w:val="28"/>
          <w:szCs w:val="28"/>
        </w:rPr>
        <w:t xml:space="preserve">параметров действия </w:t>
      </w:r>
      <w:r w:rsidR="00D6398E">
        <w:rPr>
          <w:rFonts w:ascii="Times New Roman" w:hAnsi="Times New Roman"/>
          <w:sz w:val="28"/>
          <w:szCs w:val="28"/>
        </w:rPr>
        <w:t>энерго-сырьевы</w:t>
      </w:r>
      <w:r w:rsidR="00E95F43">
        <w:rPr>
          <w:rFonts w:ascii="Times New Roman" w:hAnsi="Times New Roman"/>
          <w:sz w:val="28"/>
          <w:szCs w:val="28"/>
        </w:rPr>
        <w:t>х</w:t>
      </w:r>
      <w:r w:rsidR="00D6398E">
        <w:rPr>
          <w:rFonts w:ascii="Times New Roman" w:hAnsi="Times New Roman"/>
          <w:sz w:val="28"/>
          <w:szCs w:val="28"/>
        </w:rPr>
        <w:t xml:space="preserve"> фактор</w:t>
      </w:r>
      <w:r w:rsidR="00E95F43">
        <w:rPr>
          <w:rFonts w:ascii="Times New Roman" w:hAnsi="Times New Roman"/>
          <w:sz w:val="28"/>
          <w:szCs w:val="28"/>
        </w:rPr>
        <w:t>ов</w:t>
      </w:r>
      <w:r w:rsidR="00D6398E">
        <w:rPr>
          <w:rFonts w:ascii="Times New Roman" w:hAnsi="Times New Roman"/>
          <w:sz w:val="28"/>
          <w:szCs w:val="28"/>
        </w:rPr>
        <w:t xml:space="preserve"> российской неоиндустриал</w:t>
      </w:r>
      <w:r w:rsidR="00D6398E">
        <w:rPr>
          <w:rFonts w:ascii="Times New Roman" w:hAnsi="Times New Roman"/>
          <w:sz w:val="28"/>
          <w:szCs w:val="28"/>
        </w:rPr>
        <w:t>и</w:t>
      </w:r>
      <w:r w:rsidR="00D6398E">
        <w:rPr>
          <w:rFonts w:ascii="Times New Roman" w:hAnsi="Times New Roman"/>
          <w:sz w:val="28"/>
          <w:szCs w:val="28"/>
        </w:rPr>
        <w:t>зации</w:t>
      </w:r>
      <w:r w:rsidR="00E95F43">
        <w:rPr>
          <w:rFonts w:ascii="Times New Roman" w:hAnsi="Times New Roman"/>
          <w:sz w:val="28"/>
          <w:szCs w:val="28"/>
        </w:rPr>
        <w:t xml:space="preserve">. </w:t>
      </w:r>
    </w:p>
    <w:p w:rsidR="00264CDE" w:rsidRDefault="00DB3C69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защиту выносятся </w:t>
      </w:r>
      <w:r w:rsidR="00E95F43">
        <w:rPr>
          <w:rFonts w:ascii="Times New Roman" w:hAnsi="Times New Roman"/>
          <w:sz w:val="28"/>
          <w:szCs w:val="28"/>
        </w:rPr>
        <w:t>следующие конкретные</w:t>
      </w:r>
      <w:r w:rsidR="00264CDE" w:rsidRPr="00FF715C">
        <w:rPr>
          <w:rFonts w:ascii="Times New Roman" w:hAnsi="Times New Roman"/>
          <w:sz w:val="28"/>
          <w:szCs w:val="28"/>
        </w:rPr>
        <w:t xml:space="preserve"> результаты</w:t>
      </w:r>
      <w:r w:rsidR="00AB7391">
        <w:rPr>
          <w:rFonts w:ascii="Times New Roman" w:hAnsi="Times New Roman"/>
          <w:sz w:val="28"/>
          <w:szCs w:val="28"/>
        </w:rPr>
        <w:t xml:space="preserve"> </w:t>
      </w:r>
      <w:r w:rsidR="00E95F43">
        <w:rPr>
          <w:rFonts w:ascii="Times New Roman" w:hAnsi="Times New Roman"/>
          <w:sz w:val="28"/>
          <w:szCs w:val="28"/>
        </w:rPr>
        <w:t>диссертацио</w:t>
      </w:r>
      <w:r w:rsidR="00E95F43">
        <w:rPr>
          <w:rFonts w:ascii="Times New Roman" w:hAnsi="Times New Roman"/>
          <w:sz w:val="28"/>
          <w:szCs w:val="28"/>
        </w:rPr>
        <w:t>н</w:t>
      </w:r>
      <w:r w:rsidR="00E95F43">
        <w:rPr>
          <w:rFonts w:ascii="Times New Roman" w:hAnsi="Times New Roman"/>
          <w:sz w:val="28"/>
          <w:szCs w:val="28"/>
        </w:rPr>
        <w:t xml:space="preserve">ного </w:t>
      </w:r>
      <w:r w:rsidR="00FE38E3">
        <w:rPr>
          <w:rFonts w:ascii="Times New Roman" w:hAnsi="Times New Roman"/>
          <w:sz w:val="28"/>
          <w:szCs w:val="28"/>
        </w:rPr>
        <w:t xml:space="preserve">исследования, </w:t>
      </w:r>
      <w:r w:rsidR="004803ED">
        <w:rPr>
          <w:rFonts w:ascii="Times New Roman" w:hAnsi="Times New Roman"/>
          <w:sz w:val="28"/>
          <w:szCs w:val="28"/>
        </w:rPr>
        <w:t>содержа</w:t>
      </w:r>
      <w:r w:rsidR="00E95F43">
        <w:rPr>
          <w:rFonts w:ascii="Times New Roman" w:hAnsi="Times New Roman"/>
          <w:sz w:val="28"/>
          <w:szCs w:val="28"/>
        </w:rPr>
        <w:t>щие</w:t>
      </w:r>
      <w:r w:rsidR="004803ED">
        <w:rPr>
          <w:rFonts w:ascii="Times New Roman" w:hAnsi="Times New Roman"/>
          <w:sz w:val="28"/>
          <w:szCs w:val="28"/>
        </w:rPr>
        <w:t xml:space="preserve"> </w:t>
      </w:r>
      <w:r w:rsidR="00264CDE" w:rsidRPr="003A048D">
        <w:rPr>
          <w:rFonts w:ascii="Times New Roman" w:hAnsi="Times New Roman"/>
          <w:sz w:val="28"/>
          <w:szCs w:val="28"/>
        </w:rPr>
        <w:t>элемент</w:t>
      </w:r>
      <w:r w:rsidR="004803ED">
        <w:rPr>
          <w:rFonts w:ascii="Times New Roman" w:hAnsi="Times New Roman"/>
          <w:sz w:val="28"/>
          <w:szCs w:val="28"/>
        </w:rPr>
        <w:t>ы</w:t>
      </w:r>
      <w:r w:rsidR="00264CDE" w:rsidRPr="003A048D">
        <w:rPr>
          <w:rFonts w:ascii="Times New Roman" w:hAnsi="Times New Roman"/>
          <w:sz w:val="28"/>
          <w:szCs w:val="28"/>
        </w:rPr>
        <w:t xml:space="preserve"> нау</w:t>
      </w:r>
      <w:r w:rsidR="00264CDE" w:rsidRPr="003A048D">
        <w:rPr>
          <w:rFonts w:ascii="Times New Roman" w:hAnsi="Times New Roman"/>
          <w:sz w:val="28"/>
          <w:szCs w:val="28"/>
        </w:rPr>
        <w:t>ч</w:t>
      </w:r>
      <w:r w:rsidR="00264CDE" w:rsidRPr="003A048D">
        <w:rPr>
          <w:rFonts w:ascii="Times New Roman" w:hAnsi="Times New Roman"/>
          <w:sz w:val="28"/>
          <w:szCs w:val="28"/>
        </w:rPr>
        <w:t>ной новизны</w:t>
      </w:r>
      <w:r w:rsidR="00264CDE">
        <w:rPr>
          <w:rFonts w:ascii="Times New Roman" w:hAnsi="Times New Roman"/>
          <w:sz w:val="28"/>
          <w:szCs w:val="28"/>
        </w:rPr>
        <w:t xml:space="preserve">: </w:t>
      </w:r>
    </w:p>
    <w:p w:rsidR="00E95F43" w:rsidRDefault="00400C60" w:rsidP="00666F94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C60">
        <w:rPr>
          <w:rFonts w:ascii="Times New Roman" w:hAnsi="Times New Roman"/>
          <w:sz w:val="28"/>
          <w:szCs w:val="28"/>
        </w:rPr>
        <w:t xml:space="preserve">- </w:t>
      </w:r>
      <w:r w:rsidR="00DF01FE">
        <w:rPr>
          <w:rFonts w:ascii="Times New Roman" w:hAnsi="Times New Roman"/>
          <w:sz w:val="28"/>
          <w:szCs w:val="28"/>
        </w:rPr>
        <w:t xml:space="preserve">расширена трактовка, на основе теоретического обобщения </w:t>
      </w:r>
      <w:r w:rsidR="00DF01FE" w:rsidRPr="00DF01FE">
        <w:rPr>
          <w:rFonts w:ascii="Times New Roman" w:hAnsi="Times New Roman"/>
          <w:sz w:val="28"/>
          <w:szCs w:val="28"/>
        </w:rPr>
        <w:t>совреме</w:t>
      </w:r>
      <w:r w:rsidR="00DF01FE" w:rsidRPr="00DF01FE">
        <w:rPr>
          <w:rFonts w:ascii="Times New Roman" w:hAnsi="Times New Roman"/>
          <w:sz w:val="28"/>
          <w:szCs w:val="28"/>
        </w:rPr>
        <w:t>н</w:t>
      </w:r>
      <w:r w:rsidR="00DF01FE" w:rsidRPr="00DF01FE">
        <w:rPr>
          <w:rFonts w:ascii="Times New Roman" w:hAnsi="Times New Roman"/>
          <w:sz w:val="28"/>
          <w:szCs w:val="28"/>
        </w:rPr>
        <w:t>ны</w:t>
      </w:r>
      <w:r w:rsidR="00DF01FE">
        <w:rPr>
          <w:rFonts w:ascii="Times New Roman" w:hAnsi="Times New Roman"/>
          <w:sz w:val="28"/>
          <w:szCs w:val="28"/>
        </w:rPr>
        <w:t>х</w:t>
      </w:r>
      <w:r w:rsidR="00DF01FE" w:rsidRPr="00DF01FE">
        <w:rPr>
          <w:rFonts w:ascii="Times New Roman" w:hAnsi="Times New Roman"/>
          <w:sz w:val="28"/>
          <w:szCs w:val="28"/>
        </w:rPr>
        <w:t xml:space="preserve"> </w:t>
      </w:r>
      <w:r w:rsidR="00DF01FE">
        <w:rPr>
          <w:rFonts w:ascii="Times New Roman" w:hAnsi="Times New Roman"/>
          <w:sz w:val="28"/>
          <w:szCs w:val="28"/>
        </w:rPr>
        <w:t>компонентов и направлений</w:t>
      </w:r>
      <w:r w:rsidR="00DF01FE" w:rsidRPr="00DF01FE">
        <w:rPr>
          <w:rFonts w:ascii="Times New Roman" w:hAnsi="Times New Roman"/>
          <w:sz w:val="28"/>
          <w:szCs w:val="28"/>
        </w:rPr>
        <w:t xml:space="preserve"> научно-техническо</w:t>
      </w:r>
      <w:r w:rsidR="00DF01FE">
        <w:rPr>
          <w:rFonts w:ascii="Times New Roman" w:hAnsi="Times New Roman"/>
          <w:sz w:val="28"/>
          <w:szCs w:val="28"/>
        </w:rPr>
        <w:t>го</w:t>
      </w:r>
      <w:r w:rsidR="00DF01FE" w:rsidRPr="00DF01FE">
        <w:rPr>
          <w:rFonts w:ascii="Times New Roman" w:hAnsi="Times New Roman"/>
          <w:sz w:val="28"/>
          <w:szCs w:val="28"/>
        </w:rPr>
        <w:t xml:space="preserve"> </w:t>
      </w:r>
      <w:r w:rsidR="00DF01FE">
        <w:rPr>
          <w:rFonts w:ascii="Times New Roman" w:hAnsi="Times New Roman"/>
          <w:sz w:val="28"/>
          <w:szCs w:val="28"/>
        </w:rPr>
        <w:t xml:space="preserve">прогресса, </w:t>
      </w:r>
      <w:r w:rsidR="00925C79">
        <w:rPr>
          <w:rFonts w:ascii="Times New Roman" w:hAnsi="Times New Roman"/>
          <w:sz w:val="28"/>
          <w:szCs w:val="28"/>
        </w:rPr>
        <w:t xml:space="preserve">специфики </w:t>
      </w:r>
      <w:r w:rsidR="00DF01FE" w:rsidRPr="00DF01FE">
        <w:rPr>
          <w:rFonts w:ascii="Times New Roman" w:hAnsi="Times New Roman"/>
          <w:sz w:val="28"/>
          <w:szCs w:val="28"/>
        </w:rPr>
        <w:t xml:space="preserve">модели новой </w:t>
      </w:r>
      <w:r w:rsidR="00DF01FE">
        <w:rPr>
          <w:rFonts w:ascii="Times New Roman" w:hAnsi="Times New Roman"/>
          <w:sz w:val="28"/>
          <w:szCs w:val="28"/>
        </w:rPr>
        <w:t xml:space="preserve">российской </w:t>
      </w:r>
      <w:r w:rsidR="00DF01FE" w:rsidRPr="00DF01FE">
        <w:rPr>
          <w:rFonts w:ascii="Times New Roman" w:hAnsi="Times New Roman"/>
          <w:sz w:val="28"/>
          <w:szCs w:val="28"/>
        </w:rPr>
        <w:t xml:space="preserve">индустриализации </w:t>
      </w:r>
      <w:r w:rsidR="00DF01FE">
        <w:rPr>
          <w:rFonts w:ascii="Times New Roman" w:hAnsi="Times New Roman"/>
          <w:sz w:val="28"/>
          <w:szCs w:val="28"/>
        </w:rPr>
        <w:t>как</w:t>
      </w:r>
      <w:r w:rsidR="00DF01FE" w:rsidRPr="00DF01FE">
        <w:rPr>
          <w:rFonts w:ascii="Times New Roman" w:hAnsi="Times New Roman"/>
          <w:sz w:val="28"/>
          <w:szCs w:val="28"/>
        </w:rPr>
        <w:t xml:space="preserve"> </w:t>
      </w:r>
      <w:r w:rsidR="00DF01FE">
        <w:rPr>
          <w:rFonts w:ascii="Times New Roman" w:hAnsi="Times New Roman"/>
          <w:sz w:val="28"/>
          <w:szCs w:val="28"/>
        </w:rPr>
        <w:t xml:space="preserve">интегрирующей </w:t>
      </w:r>
      <w:r w:rsidR="00925C79">
        <w:rPr>
          <w:rFonts w:ascii="Times New Roman" w:hAnsi="Times New Roman"/>
          <w:sz w:val="28"/>
          <w:szCs w:val="28"/>
        </w:rPr>
        <w:t xml:space="preserve">формы социально-экономического развития страны, обеспечивающей </w:t>
      </w:r>
      <w:r w:rsidR="00DF01FE" w:rsidRPr="00DF01FE">
        <w:rPr>
          <w:rFonts w:ascii="Times New Roman" w:hAnsi="Times New Roman"/>
          <w:sz w:val="28"/>
          <w:szCs w:val="28"/>
        </w:rPr>
        <w:t xml:space="preserve">одновременное восстановление </w:t>
      </w:r>
      <w:r w:rsidR="00DF01FE">
        <w:rPr>
          <w:rFonts w:ascii="Times New Roman" w:hAnsi="Times New Roman"/>
          <w:sz w:val="28"/>
          <w:szCs w:val="28"/>
        </w:rPr>
        <w:t xml:space="preserve">утраченного за годы реформ промышленного </w:t>
      </w:r>
      <w:r w:rsidR="00DF01FE" w:rsidRPr="00DF01FE">
        <w:rPr>
          <w:rFonts w:ascii="Times New Roman" w:hAnsi="Times New Roman"/>
          <w:sz w:val="28"/>
          <w:szCs w:val="28"/>
        </w:rPr>
        <w:t>потенциала и пере</w:t>
      </w:r>
      <w:r w:rsidR="00925C79">
        <w:rPr>
          <w:rFonts w:ascii="Times New Roman" w:hAnsi="Times New Roman"/>
          <w:sz w:val="28"/>
          <w:szCs w:val="28"/>
        </w:rPr>
        <w:t>в</w:t>
      </w:r>
      <w:r w:rsidR="00DF01FE" w:rsidRPr="00DF01FE">
        <w:rPr>
          <w:rFonts w:ascii="Times New Roman" w:hAnsi="Times New Roman"/>
          <w:sz w:val="28"/>
          <w:szCs w:val="28"/>
        </w:rPr>
        <w:t>од промышле</w:t>
      </w:r>
      <w:r w:rsidR="00DF01FE" w:rsidRPr="00DF01FE">
        <w:rPr>
          <w:rFonts w:ascii="Times New Roman" w:hAnsi="Times New Roman"/>
          <w:sz w:val="28"/>
          <w:szCs w:val="28"/>
        </w:rPr>
        <w:t>н</w:t>
      </w:r>
      <w:r w:rsidR="00DF01FE" w:rsidRPr="00DF01FE">
        <w:rPr>
          <w:rFonts w:ascii="Times New Roman" w:hAnsi="Times New Roman"/>
          <w:sz w:val="28"/>
          <w:szCs w:val="28"/>
        </w:rPr>
        <w:t>ных производств на шестой технологический уклад</w:t>
      </w:r>
      <w:r w:rsidR="00925C79">
        <w:rPr>
          <w:rFonts w:ascii="Times New Roman" w:hAnsi="Times New Roman"/>
          <w:sz w:val="28"/>
          <w:szCs w:val="28"/>
        </w:rPr>
        <w:t xml:space="preserve"> с учетом критического износа основных фондов</w:t>
      </w:r>
      <w:r w:rsidR="000603ED">
        <w:rPr>
          <w:rFonts w:ascii="Times New Roman" w:hAnsi="Times New Roman"/>
          <w:sz w:val="28"/>
          <w:szCs w:val="28"/>
        </w:rPr>
        <w:t xml:space="preserve"> и необходимости соблюдения современных рыночных требований</w:t>
      </w:r>
      <w:r w:rsidR="00DF01FE" w:rsidRPr="00DF01FE">
        <w:rPr>
          <w:rFonts w:ascii="Times New Roman" w:hAnsi="Times New Roman"/>
          <w:sz w:val="28"/>
          <w:szCs w:val="28"/>
        </w:rPr>
        <w:t xml:space="preserve">, </w:t>
      </w:r>
      <w:r w:rsidR="004C79E0">
        <w:rPr>
          <w:rFonts w:ascii="Times New Roman" w:hAnsi="Times New Roman"/>
          <w:sz w:val="28"/>
          <w:szCs w:val="28"/>
        </w:rPr>
        <w:t xml:space="preserve">что </w:t>
      </w:r>
      <w:r w:rsidR="00DF01FE" w:rsidRPr="00DF01FE">
        <w:rPr>
          <w:rFonts w:ascii="Times New Roman" w:hAnsi="Times New Roman"/>
          <w:sz w:val="28"/>
          <w:szCs w:val="28"/>
        </w:rPr>
        <w:t>отвеча</w:t>
      </w:r>
      <w:r w:rsidR="004C79E0">
        <w:rPr>
          <w:rFonts w:ascii="Times New Roman" w:hAnsi="Times New Roman"/>
          <w:sz w:val="28"/>
          <w:szCs w:val="28"/>
        </w:rPr>
        <w:t>ет вызовам</w:t>
      </w:r>
      <w:r w:rsidR="00DF01FE" w:rsidRPr="00DF01FE">
        <w:rPr>
          <w:rFonts w:ascii="Times New Roman" w:hAnsi="Times New Roman"/>
          <w:sz w:val="28"/>
          <w:szCs w:val="28"/>
        </w:rPr>
        <w:t xml:space="preserve"> ключевы</w:t>
      </w:r>
      <w:r w:rsidR="004C79E0">
        <w:rPr>
          <w:rFonts w:ascii="Times New Roman" w:hAnsi="Times New Roman"/>
          <w:sz w:val="28"/>
          <w:szCs w:val="28"/>
        </w:rPr>
        <w:t>х</w:t>
      </w:r>
      <w:r w:rsidR="00DF01FE" w:rsidRPr="00DF01FE">
        <w:rPr>
          <w:rFonts w:ascii="Times New Roman" w:hAnsi="Times New Roman"/>
          <w:sz w:val="28"/>
          <w:szCs w:val="28"/>
        </w:rPr>
        <w:t xml:space="preserve"> тренд</w:t>
      </w:r>
      <w:r w:rsidR="004C79E0">
        <w:rPr>
          <w:rFonts w:ascii="Times New Roman" w:hAnsi="Times New Roman"/>
          <w:sz w:val="28"/>
          <w:szCs w:val="28"/>
        </w:rPr>
        <w:t>ов</w:t>
      </w:r>
      <w:r w:rsidR="00DF01FE" w:rsidRPr="00DF01FE">
        <w:rPr>
          <w:rFonts w:ascii="Times New Roman" w:hAnsi="Times New Roman"/>
          <w:sz w:val="28"/>
          <w:szCs w:val="28"/>
        </w:rPr>
        <w:t xml:space="preserve"> </w:t>
      </w:r>
      <w:r w:rsidR="00925C79">
        <w:rPr>
          <w:rFonts w:ascii="Times New Roman" w:hAnsi="Times New Roman"/>
          <w:sz w:val="28"/>
          <w:szCs w:val="28"/>
        </w:rPr>
        <w:t>постиндус</w:t>
      </w:r>
      <w:r w:rsidR="00925C79">
        <w:rPr>
          <w:rFonts w:ascii="Times New Roman" w:hAnsi="Times New Roman"/>
          <w:sz w:val="28"/>
          <w:szCs w:val="28"/>
        </w:rPr>
        <w:t>т</w:t>
      </w:r>
      <w:r w:rsidR="00925C79">
        <w:rPr>
          <w:rFonts w:ascii="Times New Roman" w:hAnsi="Times New Roman"/>
          <w:sz w:val="28"/>
          <w:szCs w:val="28"/>
        </w:rPr>
        <w:t xml:space="preserve">риального </w:t>
      </w:r>
      <w:r w:rsidR="00DF01FE" w:rsidRPr="00DF01FE">
        <w:rPr>
          <w:rFonts w:ascii="Times New Roman" w:hAnsi="Times New Roman"/>
          <w:sz w:val="28"/>
          <w:szCs w:val="28"/>
        </w:rPr>
        <w:t xml:space="preserve">развития </w:t>
      </w:r>
      <w:r w:rsidR="004C79E0">
        <w:rPr>
          <w:rFonts w:ascii="Times New Roman" w:hAnsi="Times New Roman"/>
          <w:sz w:val="28"/>
          <w:szCs w:val="28"/>
        </w:rPr>
        <w:t>глобальной</w:t>
      </w:r>
      <w:r w:rsidR="00DF01FE" w:rsidRPr="00DF01FE">
        <w:rPr>
          <w:rFonts w:ascii="Times New Roman" w:hAnsi="Times New Roman"/>
          <w:sz w:val="28"/>
          <w:szCs w:val="28"/>
        </w:rPr>
        <w:t xml:space="preserve"> </w:t>
      </w:r>
      <w:r w:rsidR="00925C79">
        <w:rPr>
          <w:rFonts w:ascii="Times New Roman" w:hAnsi="Times New Roman"/>
          <w:sz w:val="28"/>
          <w:szCs w:val="28"/>
        </w:rPr>
        <w:t xml:space="preserve">и национальных </w:t>
      </w:r>
      <w:r w:rsidR="00DF01FE" w:rsidRPr="00DF01FE">
        <w:rPr>
          <w:rFonts w:ascii="Times New Roman" w:hAnsi="Times New Roman"/>
          <w:sz w:val="28"/>
          <w:szCs w:val="28"/>
        </w:rPr>
        <w:t>экономик</w:t>
      </w:r>
      <w:r w:rsidR="00925C79">
        <w:rPr>
          <w:rFonts w:ascii="Times New Roman" w:hAnsi="Times New Roman"/>
          <w:sz w:val="28"/>
          <w:szCs w:val="28"/>
        </w:rPr>
        <w:t xml:space="preserve">; </w:t>
      </w:r>
    </w:p>
    <w:p w:rsidR="00A1781C" w:rsidRDefault="000603ED" w:rsidP="000603ED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выявлено, что </w:t>
      </w:r>
      <w:r w:rsidRPr="000603ED">
        <w:rPr>
          <w:rFonts w:ascii="Times New Roman" w:hAnsi="Times New Roman"/>
          <w:sz w:val="28"/>
          <w:szCs w:val="28"/>
        </w:rPr>
        <w:t xml:space="preserve">одним из </w:t>
      </w:r>
      <w:r>
        <w:rPr>
          <w:rFonts w:ascii="Times New Roman" w:hAnsi="Times New Roman"/>
          <w:sz w:val="28"/>
          <w:szCs w:val="28"/>
        </w:rPr>
        <w:t xml:space="preserve">достаточных </w:t>
      </w:r>
      <w:r w:rsidRPr="000603ED">
        <w:rPr>
          <w:rFonts w:ascii="Times New Roman" w:hAnsi="Times New Roman"/>
          <w:sz w:val="28"/>
          <w:szCs w:val="28"/>
        </w:rPr>
        <w:t>условий проведения новой волны индус</w:t>
      </w:r>
      <w:r w:rsidRPr="000603ED">
        <w:rPr>
          <w:rFonts w:ascii="Times New Roman" w:hAnsi="Times New Roman"/>
          <w:sz w:val="28"/>
          <w:szCs w:val="28"/>
        </w:rPr>
        <w:t>т</w:t>
      </w:r>
      <w:r w:rsidRPr="000603ED">
        <w:rPr>
          <w:rFonts w:ascii="Times New Roman" w:hAnsi="Times New Roman"/>
          <w:sz w:val="28"/>
          <w:szCs w:val="28"/>
        </w:rPr>
        <w:t xml:space="preserve">риализации в России, соответствующей современным мировым тенденциям, является не только технико-технологическое развитие производств, но и выработка </w:t>
      </w:r>
      <w:r w:rsidR="00A1781C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подходов к энергосбережению</w:t>
      </w:r>
      <w:r w:rsidR="00A1781C">
        <w:rPr>
          <w:rFonts w:ascii="Times New Roman" w:hAnsi="Times New Roman"/>
          <w:sz w:val="28"/>
          <w:szCs w:val="28"/>
        </w:rPr>
        <w:t xml:space="preserve"> (которое </w:t>
      </w:r>
      <w:r w:rsidR="00A1781C" w:rsidRPr="00697181">
        <w:rPr>
          <w:rFonts w:ascii="Times New Roman" w:hAnsi="Times New Roman"/>
          <w:sz w:val="28"/>
          <w:szCs w:val="28"/>
        </w:rPr>
        <w:t xml:space="preserve">является комплексной задачей, требующей проведения </w:t>
      </w:r>
      <w:r w:rsidR="00DB0978">
        <w:rPr>
          <w:rFonts w:ascii="Times New Roman" w:hAnsi="Times New Roman"/>
          <w:sz w:val="28"/>
          <w:szCs w:val="28"/>
        </w:rPr>
        <w:t>ряда</w:t>
      </w:r>
      <w:r w:rsidR="00A1781C" w:rsidRPr="00697181">
        <w:rPr>
          <w:rFonts w:ascii="Times New Roman" w:hAnsi="Times New Roman"/>
          <w:sz w:val="28"/>
          <w:szCs w:val="28"/>
        </w:rPr>
        <w:t xml:space="preserve"> мероприятий экономического, правового и организационного характера, способствующих снижению энергоемкости </w:t>
      </w:r>
      <w:r w:rsidR="002311EF">
        <w:rPr>
          <w:rFonts w:ascii="Times New Roman" w:hAnsi="Times New Roman"/>
          <w:sz w:val="28"/>
          <w:szCs w:val="28"/>
        </w:rPr>
        <w:t>товаров и услуг</w:t>
      </w:r>
      <w:r w:rsidR="00A1781C">
        <w:rPr>
          <w:rFonts w:ascii="Times New Roman" w:hAnsi="Times New Roman"/>
          <w:sz w:val="28"/>
          <w:szCs w:val="28"/>
        </w:rPr>
        <w:t xml:space="preserve"> и обеспечивающих решение триединой проблемы </w:t>
      </w:r>
      <w:r w:rsidR="00A1781C" w:rsidRPr="00697181">
        <w:rPr>
          <w:rFonts w:ascii="Times New Roman" w:hAnsi="Times New Roman"/>
          <w:sz w:val="28"/>
          <w:szCs w:val="28"/>
        </w:rPr>
        <w:t>исключени</w:t>
      </w:r>
      <w:r w:rsidR="00A1781C">
        <w:rPr>
          <w:rFonts w:ascii="Times New Roman" w:hAnsi="Times New Roman"/>
          <w:sz w:val="28"/>
          <w:szCs w:val="28"/>
        </w:rPr>
        <w:t>я</w:t>
      </w:r>
      <w:r w:rsidR="00A1781C" w:rsidRPr="00697181">
        <w:rPr>
          <w:rFonts w:ascii="Times New Roman" w:hAnsi="Times New Roman"/>
          <w:sz w:val="28"/>
          <w:szCs w:val="28"/>
        </w:rPr>
        <w:t xml:space="preserve"> нерациональн</w:t>
      </w:r>
      <w:r w:rsidR="00DB0978">
        <w:rPr>
          <w:rFonts w:ascii="Times New Roman" w:hAnsi="Times New Roman"/>
          <w:sz w:val="28"/>
          <w:szCs w:val="28"/>
        </w:rPr>
        <w:t>ых технологий</w:t>
      </w:r>
      <w:r w:rsidR="00A1781C" w:rsidRPr="00697181">
        <w:rPr>
          <w:rFonts w:ascii="Times New Roman" w:hAnsi="Times New Roman"/>
          <w:sz w:val="28"/>
          <w:szCs w:val="28"/>
        </w:rPr>
        <w:t xml:space="preserve"> </w:t>
      </w:r>
      <w:r w:rsidR="00DB0978">
        <w:rPr>
          <w:rFonts w:ascii="Times New Roman" w:hAnsi="Times New Roman"/>
          <w:sz w:val="28"/>
          <w:szCs w:val="28"/>
        </w:rPr>
        <w:t>применения,</w:t>
      </w:r>
      <w:r w:rsidR="00697181">
        <w:rPr>
          <w:rFonts w:ascii="Times New Roman" w:hAnsi="Times New Roman"/>
          <w:sz w:val="28"/>
          <w:szCs w:val="28"/>
        </w:rPr>
        <w:t xml:space="preserve"> </w:t>
      </w:r>
      <w:r w:rsidR="00A1781C" w:rsidRPr="00697181">
        <w:rPr>
          <w:rFonts w:ascii="Times New Roman" w:hAnsi="Times New Roman"/>
          <w:sz w:val="28"/>
          <w:szCs w:val="28"/>
        </w:rPr>
        <w:t>устранени</w:t>
      </w:r>
      <w:r w:rsidR="00A1781C">
        <w:rPr>
          <w:rFonts w:ascii="Times New Roman" w:hAnsi="Times New Roman"/>
          <w:sz w:val="28"/>
          <w:szCs w:val="28"/>
        </w:rPr>
        <w:t>я</w:t>
      </w:r>
      <w:r w:rsidR="00A1781C" w:rsidRPr="00697181">
        <w:rPr>
          <w:rFonts w:ascii="Times New Roman" w:hAnsi="Times New Roman"/>
          <w:sz w:val="28"/>
          <w:szCs w:val="28"/>
        </w:rPr>
        <w:t xml:space="preserve"> потерь</w:t>
      </w:r>
      <w:r w:rsidR="00A1781C">
        <w:rPr>
          <w:rFonts w:ascii="Times New Roman" w:hAnsi="Times New Roman"/>
          <w:sz w:val="28"/>
          <w:szCs w:val="28"/>
        </w:rPr>
        <w:t xml:space="preserve"> и </w:t>
      </w:r>
      <w:r w:rsidR="00A1781C" w:rsidRPr="00697181">
        <w:rPr>
          <w:rFonts w:ascii="Times New Roman" w:hAnsi="Times New Roman"/>
          <w:sz w:val="28"/>
          <w:szCs w:val="28"/>
        </w:rPr>
        <w:t>повышени</w:t>
      </w:r>
      <w:r w:rsidR="00A1781C">
        <w:rPr>
          <w:rFonts w:ascii="Times New Roman" w:hAnsi="Times New Roman"/>
          <w:sz w:val="28"/>
          <w:szCs w:val="28"/>
        </w:rPr>
        <w:t>я</w:t>
      </w:r>
      <w:r w:rsidR="00A1781C" w:rsidRPr="00697181">
        <w:rPr>
          <w:rFonts w:ascii="Times New Roman" w:hAnsi="Times New Roman"/>
          <w:sz w:val="28"/>
          <w:szCs w:val="28"/>
        </w:rPr>
        <w:t xml:space="preserve"> эффективности использования энергии</w:t>
      </w:r>
      <w:r w:rsidR="00A1781C">
        <w:rPr>
          <w:rFonts w:ascii="Times New Roman" w:hAnsi="Times New Roman"/>
          <w:sz w:val="28"/>
          <w:szCs w:val="28"/>
        </w:rPr>
        <w:t xml:space="preserve">), </w:t>
      </w:r>
      <w:r w:rsidR="00697181">
        <w:rPr>
          <w:rFonts w:ascii="Times New Roman" w:hAnsi="Times New Roman"/>
          <w:sz w:val="28"/>
          <w:szCs w:val="28"/>
        </w:rPr>
        <w:t xml:space="preserve">что в условиях </w:t>
      </w:r>
      <w:r w:rsidR="0051224E">
        <w:rPr>
          <w:rFonts w:ascii="Times New Roman" w:hAnsi="Times New Roman"/>
          <w:sz w:val="28"/>
          <w:szCs w:val="28"/>
        </w:rPr>
        <w:t xml:space="preserve">глобальной </w:t>
      </w:r>
      <w:r w:rsidR="00697181">
        <w:rPr>
          <w:rFonts w:ascii="Times New Roman" w:hAnsi="Times New Roman"/>
          <w:sz w:val="28"/>
          <w:szCs w:val="28"/>
        </w:rPr>
        <w:t xml:space="preserve">ограниченности </w:t>
      </w:r>
      <w:r w:rsidRPr="000603ED">
        <w:rPr>
          <w:rFonts w:ascii="Times New Roman" w:hAnsi="Times New Roman"/>
          <w:sz w:val="28"/>
          <w:szCs w:val="28"/>
        </w:rPr>
        <w:t xml:space="preserve">топливно-энергетических ресурсов </w:t>
      </w:r>
      <w:r w:rsidR="00A1781C" w:rsidRPr="00697181">
        <w:rPr>
          <w:rFonts w:ascii="Times New Roman" w:hAnsi="Times New Roman"/>
          <w:sz w:val="28"/>
          <w:szCs w:val="28"/>
        </w:rPr>
        <w:t>может выступить основой устойчивого экономического роста в среднесрочной и долгосрочной перспективах</w:t>
      </w:r>
      <w:r w:rsidR="00DB0978">
        <w:rPr>
          <w:rFonts w:ascii="Times New Roman" w:hAnsi="Times New Roman"/>
          <w:sz w:val="28"/>
          <w:szCs w:val="28"/>
        </w:rPr>
        <w:t xml:space="preserve"> и</w:t>
      </w:r>
      <w:r w:rsidR="00A1781C">
        <w:rPr>
          <w:rFonts w:ascii="Times New Roman" w:hAnsi="Times New Roman"/>
          <w:sz w:val="28"/>
          <w:szCs w:val="28"/>
        </w:rPr>
        <w:t xml:space="preserve"> </w:t>
      </w:r>
      <w:r w:rsidRPr="000603ED">
        <w:rPr>
          <w:rFonts w:ascii="Times New Roman" w:hAnsi="Times New Roman"/>
          <w:sz w:val="28"/>
          <w:szCs w:val="28"/>
        </w:rPr>
        <w:t>повышения конкурентоспособ</w:t>
      </w:r>
      <w:r w:rsidR="00DB0978">
        <w:rPr>
          <w:rFonts w:ascii="Times New Roman" w:hAnsi="Times New Roman"/>
          <w:sz w:val="28"/>
          <w:szCs w:val="28"/>
        </w:rPr>
        <w:t xml:space="preserve">ности национальных хозяйственных структур; </w:t>
      </w:r>
    </w:p>
    <w:p w:rsidR="00581B05" w:rsidRDefault="002311EF" w:rsidP="00666F94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05">
        <w:rPr>
          <w:rFonts w:ascii="Times New Roman" w:hAnsi="Times New Roman"/>
          <w:sz w:val="28"/>
          <w:szCs w:val="28"/>
        </w:rPr>
        <w:t xml:space="preserve">показано, на основе структурного анализа производства, потребления и экспорта </w:t>
      </w:r>
      <w:r w:rsidR="00581B05" w:rsidRPr="002311EF">
        <w:rPr>
          <w:rFonts w:ascii="Times New Roman" w:hAnsi="Times New Roman"/>
          <w:sz w:val="28"/>
          <w:szCs w:val="28"/>
        </w:rPr>
        <w:t>нефти и нефтепродуктов</w:t>
      </w:r>
      <w:r w:rsidR="00581B05">
        <w:rPr>
          <w:rFonts w:ascii="Times New Roman" w:hAnsi="Times New Roman"/>
          <w:sz w:val="28"/>
          <w:szCs w:val="28"/>
        </w:rPr>
        <w:t xml:space="preserve"> (</w:t>
      </w:r>
      <w:r w:rsidRPr="002311EF">
        <w:rPr>
          <w:rFonts w:ascii="Times New Roman" w:hAnsi="Times New Roman"/>
          <w:sz w:val="28"/>
          <w:szCs w:val="28"/>
        </w:rPr>
        <w:t xml:space="preserve">доля </w:t>
      </w:r>
      <w:r w:rsidR="00581B05">
        <w:rPr>
          <w:rFonts w:ascii="Times New Roman" w:hAnsi="Times New Roman"/>
          <w:sz w:val="28"/>
          <w:szCs w:val="28"/>
        </w:rPr>
        <w:t xml:space="preserve">которых </w:t>
      </w:r>
      <w:r w:rsidRPr="002311EF">
        <w:rPr>
          <w:rFonts w:ascii="Times New Roman" w:hAnsi="Times New Roman"/>
          <w:sz w:val="28"/>
          <w:szCs w:val="28"/>
        </w:rPr>
        <w:t xml:space="preserve">не только </w:t>
      </w:r>
      <w:r w:rsidR="00777B88">
        <w:rPr>
          <w:rFonts w:ascii="Times New Roman" w:hAnsi="Times New Roman"/>
          <w:sz w:val="28"/>
          <w:szCs w:val="28"/>
        </w:rPr>
        <w:t>составляет</w:t>
      </w:r>
      <w:r w:rsidRPr="002311EF">
        <w:rPr>
          <w:rFonts w:ascii="Times New Roman" w:hAnsi="Times New Roman"/>
          <w:sz w:val="28"/>
          <w:szCs w:val="28"/>
        </w:rPr>
        <w:t xml:space="preserve"> более половины совокупного экспорта, но и постепенно увеличивае</w:t>
      </w:r>
      <w:r w:rsidRPr="002311EF">
        <w:rPr>
          <w:rFonts w:ascii="Times New Roman" w:hAnsi="Times New Roman"/>
          <w:sz w:val="28"/>
          <w:szCs w:val="28"/>
        </w:rPr>
        <w:t>т</w:t>
      </w:r>
      <w:r w:rsidRPr="002311EF">
        <w:rPr>
          <w:rFonts w:ascii="Times New Roman" w:hAnsi="Times New Roman"/>
          <w:sz w:val="28"/>
          <w:szCs w:val="28"/>
        </w:rPr>
        <w:t>ся</w:t>
      </w:r>
      <w:r w:rsidR="00581B05">
        <w:rPr>
          <w:rFonts w:ascii="Times New Roman" w:hAnsi="Times New Roman"/>
          <w:sz w:val="28"/>
          <w:szCs w:val="28"/>
        </w:rPr>
        <w:t>)</w:t>
      </w:r>
      <w:r w:rsidR="00777B88">
        <w:rPr>
          <w:rFonts w:ascii="Times New Roman" w:hAnsi="Times New Roman"/>
          <w:sz w:val="28"/>
          <w:szCs w:val="28"/>
        </w:rPr>
        <w:t xml:space="preserve">, что </w:t>
      </w:r>
      <w:r w:rsidR="00777B88" w:rsidRPr="00581B05">
        <w:rPr>
          <w:rFonts w:ascii="Times New Roman" w:hAnsi="Times New Roman"/>
          <w:sz w:val="28"/>
          <w:szCs w:val="28"/>
        </w:rPr>
        <w:t>неоиндустриальной модернизации отечественной экономики</w:t>
      </w:r>
      <w:r w:rsidR="00777B88" w:rsidRPr="00777B88">
        <w:rPr>
          <w:rFonts w:ascii="Times New Roman" w:hAnsi="Times New Roman"/>
          <w:sz w:val="28"/>
          <w:szCs w:val="28"/>
        </w:rPr>
        <w:t xml:space="preserve"> </w:t>
      </w:r>
      <w:r w:rsidR="00777B88" w:rsidRPr="00581B05">
        <w:rPr>
          <w:rFonts w:ascii="Times New Roman" w:hAnsi="Times New Roman"/>
          <w:sz w:val="28"/>
          <w:szCs w:val="28"/>
        </w:rPr>
        <w:t xml:space="preserve">препятствует, с одной стороны, рост внутреннего потребления топливно-энергетических ресурсов, происходящий на фоне сокращения </w:t>
      </w:r>
      <w:r w:rsidR="00777B88">
        <w:rPr>
          <w:rFonts w:ascii="Times New Roman" w:hAnsi="Times New Roman"/>
          <w:sz w:val="28"/>
          <w:szCs w:val="28"/>
        </w:rPr>
        <w:t xml:space="preserve">физических объемов </w:t>
      </w:r>
      <w:r w:rsidR="00777B88" w:rsidRPr="00581B05">
        <w:rPr>
          <w:rFonts w:ascii="Times New Roman" w:hAnsi="Times New Roman"/>
          <w:sz w:val="28"/>
          <w:szCs w:val="28"/>
        </w:rPr>
        <w:t xml:space="preserve">экспорта и </w:t>
      </w:r>
      <w:r w:rsidR="004F6469" w:rsidRPr="00581B05">
        <w:rPr>
          <w:rFonts w:ascii="Times New Roman" w:hAnsi="Times New Roman"/>
          <w:sz w:val="28"/>
          <w:szCs w:val="28"/>
        </w:rPr>
        <w:t>не сопровожда</w:t>
      </w:r>
      <w:r w:rsidR="004F6469">
        <w:rPr>
          <w:rFonts w:ascii="Times New Roman" w:hAnsi="Times New Roman"/>
          <w:sz w:val="28"/>
          <w:szCs w:val="28"/>
        </w:rPr>
        <w:t>ющий</w:t>
      </w:r>
      <w:r w:rsidR="004F6469" w:rsidRPr="00581B05">
        <w:rPr>
          <w:rFonts w:ascii="Times New Roman" w:hAnsi="Times New Roman"/>
          <w:sz w:val="28"/>
          <w:szCs w:val="28"/>
        </w:rPr>
        <w:t xml:space="preserve">ся </w:t>
      </w:r>
      <w:r w:rsidR="004F6469">
        <w:rPr>
          <w:rFonts w:ascii="Times New Roman" w:hAnsi="Times New Roman"/>
          <w:sz w:val="28"/>
          <w:szCs w:val="28"/>
        </w:rPr>
        <w:t>необходимым</w:t>
      </w:r>
      <w:r w:rsidR="004F6469" w:rsidRPr="00581B05">
        <w:rPr>
          <w:rFonts w:ascii="Times New Roman" w:hAnsi="Times New Roman"/>
          <w:sz w:val="28"/>
          <w:szCs w:val="28"/>
        </w:rPr>
        <w:t xml:space="preserve"> </w:t>
      </w:r>
      <w:r w:rsidR="004F6469">
        <w:rPr>
          <w:rFonts w:ascii="Times New Roman" w:hAnsi="Times New Roman"/>
          <w:sz w:val="28"/>
          <w:szCs w:val="28"/>
        </w:rPr>
        <w:t>повышением</w:t>
      </w:r>
      <w:r w:rsidR="004F6469" w:rsidRPr="00581B05">
        <w:rPr>
          <w:rFonts w:ascii="Times New Roman" w:hAnsi="Times New Roman"/>
          <w:sz w:val="28"/>
          <w:szCs w:val="28"/>
        </w:rPr>
        <w:t xml:space="preserve"> глубины перер</w:t>
      </w:r>
      <w:r w:rsidR="004F6469" w:rsidRPr="00581B05">
        <w:rPr>
          <w:rFonts w:ascii="Times New Roman" w:hAnsi="Times New Roman"/>
          <w:sz w:val="28"/>
          <w:szCs w:val="28"/>
        </w:rPr>
        <w:t>а</w:t>
      </w:r>
      <w:r w:rsidR="004F6469" w:rsidRPr="00581B05">
        <w:rPr>
          <w:rFonts w:ascii="Times New Roman" w:hAnsi="Times New Roman"/>
          <w:sz w:val="28"/>
          <w:szCs w:val="28"/>
        </w:rPr>
        <w:t>ботки</w:t>
      </w:r>
      <w:r w:rsidR="00777B88">
        <w:rPr>
          <w:rFonts w:ascii="Times New Roman" w:hAnsi="Times New Roman"/>
          <w:sz w:val="28"/>
          <w:szCs w:val="28"/>
        </w:rPr>
        <w:t>, с</w:t>
      </w:r>
      <w:r w:rsidR="00777B88" w:rsidRPr="00581B05">
        <w:rPr>
          <w:rFonts w:ascii="Times New Roman" w:hAnsi="Times New Roman"/>
          <w:sz w:val="28"/>
          <w:szCs w:val="28"/>
        </w:rPr>
        <w:t xml:space="preserve"> другой стороны</w:t>
      </w:r>
      <w:r w:rsidR="00777B88">
        <w:rPr>
          <w:rFonts w:ascii="Times New Roman" w:hAnsi="Times New Roman"/>
          <w:sz w:val="28"/>
          <w:szCs w:val="28"/>
        </w:rPr>
        <w:t xml:space="preserve"> -</w:t>
      </w:r>
      <w:r w:rsidR="00777B88" w:rsidRPr="00581B05">
        <w:rPr>
          <w:rFonts w:ascii="Times New Roman" w:hAnsi="Times New Roman"/>
          <w:sz w:val="28"/>
          <w:szCs w:val="28"/>
        </w:rPr>
        <w:t xml:space="preserve"> высокий уровень зависимости социально-экономических процессов в стране от нефтегазовых доходов бюджета и стоимости нефти</w:t>
      </w:r>
      <w:r w:rsidR="00777B88">
        <w:rPr>
          <w:rFonts w:ascii="Times New Roman" w:hAnsi="Times New Roman"/>
          <w:sz w:val="28"/>
          <w:szCs w:val="28"/>
        </w:rPr>
        <w:t xml:space="preserve">, особенно проявившиеся в прошлом и текущем годах; </w:t>
      </w:r>
    </w:p>
    <w:p w:rsidR="0051224E" w:rsidRDefault="004F6469" w:rsidP="00AE5E75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6C14">
        <w:rPr>
          <w:rFonts w:ascii="Times New Roman" w:hAnsi="Times New Roman"/>
          <w:sz w:val="28"/>
          <w:szCs w:val="28"/>
        </w:rPr>
        <w:t xml:space="preserve">дана оценка, на основе статистического анализа </w:t>
      </w:r>
      <w:r w:rsidR="0051224E">
        <w:rPr>
          <w:rFonts w:ascii="Times New Roman" w:hAnsi="Times New Roman"/>
          <w:sz w:val="28"/>
          <w:szCs w:val="28"/>
        </w:rPr>
        <w:t xml:space="preserve">тенденций </w:t>
      </w:r>
      <w:r w:rsidR="004E6C14">
        <w:rPr>
          <w:rFonts w:ascii="Times New Roman" w:hAnsi="Times New Roman"/>
          <w:sz w:val="28"/>
          <w:szCs w:val="28"/>
        </w:rPr>
        <w:t>энергоемк</w:t>
      </w:r>
      <w:r w:rsidR="004E6C14">
        <w:rPr>
          <w:rFonts w:ascii="Times New Roman" w:hAnsi="Times New Roman"/>
          <w:sz w:val="28"/>
          <w:szCs w:val="28"/>
        </w:rPr>
        <w:t>о</w:t>
      </w:r>
      <w:r w:rsidR="004E6C14">
        <w:rPr>
          <w:rFonts w:ascii="Times New Roman" w:hAnsi="Times New Roman"/>
          <w:sz w:val="28"/>
          <w:szCs w:val="28"/>
        </w:rPr>
        <w:t xml:space="preserve">сти валового внутреннего продукта, функциональных параметров </w:t>
      </w:r>
      <w:r w:rsidR="004E6C14" w:rsidRPr="004E6C14">
        <w:rPr>
          <w:rFonts w:ascii="Times New Roman" w:hAnsi="Times New Roman"/>
          <w:sz w:val="28"/>
          <w:szCs w:val="28"/>
        </w:rPr>
        <w:t xml:space="preserve">задачи снижения энергоемкости </w:t>
      </w:r>
      <w:r w:rsidR="0051224E">
        <w:rPr>
          <w:rFonts w:ascii="Times New Roman" w:hAnsi="Times New Roman"/>
          <w:sz w:val="28"/>
          <w:szCs w:val="28"/>
        </w:rPr>
        <w:t>хозяйственной</w:t>
      </w:r>
      <w:r w:rsidR="004E6C14" w:rsidRPr="004E6C14">
        <w:rPr>
          <w:rFonts w:ascii="Times New Roman" w:hAnsi="Times New Roman"/>
          <w:sz w:val="28"/>
          <w:szCs w:val="28"/>
        </w:rPr>
        <w:t xml:space="preserve"> деятельности</w:t>
      </w:r>
      <w:r w:rsidR="009D1BF8">
        <w:rPr>
          <w:rFonts w:ascii="Times New Roman" w:hAnsi="Times New Roman"/>
          <w:sz w:val="28"/>
          <w:szCs w:val="28"/>
        </w:rPr>
        <w:t xml:space="preserve"> (</w:t>
      </w:r>
      <w:r w:rsidR="0051224E">
        <w:rPr>
          <w:rFonts w:ascii="Times New Roman" w:hAnsi="Times New Roman"/>
          <w:sz w:val="28"/>
          <w:szCs w:val="28"/>
        </w:rPr>
        <w:t>которая</w:t>
      </w:r>
      <w:r w:rsidR="004E6C14" w:rsidRPr="004E6C14">
        <w:rPr>
          <w:rFonts w:ascii="Times New Roman" w:hAnsi="Times New Roman"/>
          <w:sz w:val="28"/>
          <w:szCs w:val="28"/>
        </w:rPr>
        <w:t xml:space="preserve"> </w:t>
      </w:r>
      <w:r w:rsidR="0051224E" w:rsidRPr="004E6C14">
        <w:rPr>
          <w:rFonts w:ascii="Times New Roman" w:hAnsi="Times New Roman"/>
          <w:sz w:val="28"/>
          <w:szCs w:val="28"/>
        </w:rPr>
        <w:t>по уровню энергоэффективности значительно отстает как от стран с преобладан</w:t>
      </w:r>
      <w:r w:rsidR="0051224E" w:rsidRPr="004E6C14">
        <w:rPr>
          <w:rFonts w:ascii="Times New Roman" w:hAnsi="Times New Roman"/>
          <w:sz w:val="28"/>
          <w:szCs w:val="28"/>
        </w:rPr>
        <w:t>и</w:t>
      </w:r>
      <w:r w:rsidR="0051224E" w:rsidRPr="004E6C14">
        <w:rPr>
          <w:rFonts w:ascii="Times New Roman" w:hAnsi="Times New Roman"/>
          <w:sz w:val="28"/>
          <w:szCs w:val="28"/>
        </w:rPr>
        <w:t>ем в структуре экономики сферы нематериального производства, так и от стран</w:t>
      </w:r>
      <w:r w:rsidR="009D1BF8">
        <w:rPr>
          <w:rFonts w:ascii="Times New Roman" w:hAnsi="Times New Roman"/>
          <w:sz w:val="28"/>
          <w:szCs w:val="28"/>
        </w:rPr>
        <w:t xml:space="preserve"> с</w:t>
      </w:r>
      <w:r w:rsidR="0051224E" w:rsidRPr="004E6C14">
        <w:rPr>
          <w:rFonts w:ascii="Times New Roman" w:hAnsi="Times New Roman"/>
          <w:sz w:val="28"/>
          <w:szCs w:val="28"/>
        </w:rPr>
        <w:t xml:space="preserve"> преоблада</w:t>
      </w:r>
      <w:r w:rsidR="009D1BF8">
        <w:rPr>
          <w:rFonts w:ascii="Times New Roman" w:hAnsi="Times New Roman"/>
          <w:sz w:val="28"/>
          <w:szCs w:val="28"/>
        </w:rPr>
        <w:t>нием</w:t>
      </w:r>
      <w:r w:rsidR="0051224E" w:rsidRPr="004E6C14">
        <w:rPr>
          <w:rFonts w:ascii="Times New Roman" w:hAnsi="Times New Roman"/>
          <w:sz w:val="28"/>
          <w:szCs w:val="28"/>
        </w:rPr>
        <w:t xml:space="preserve"> сфер</w:t>
      </w:r>
      <w:r w:rsidR="009D1BF8">
        <w:rPr>
          <w:rFonts w:ascii="Times New Roman" w:hAnsi="Times New Roman"/>
          <w:sz w:val="28"/>
          <w:szCs w:val="28"/>
        </w:rPr>
        <w:t>ы</w:t>
      </w:r>
      <w:r w:rsidR="0051224E" w:rsidRPr="004E6C14">
        <w:rPr>
          <w:rFonts w:ascii="Times New Roman" w:hAnsi="Times New Roman"/>
          <w:sz w:val="28"/>
          <w:szCs w:val="28"/>
        </w:rPr>
        <w:t xml:space="preserve"> материального производства</w:t>
      </w:r>
      <w:r w:rsidR="009D1BF8">
        <w:rPr>
          <w:rFonts w:ascii="Times New Roman" w:hAnsi="Times New Roman"/>
          <w:sz w:val="28"/>
          <w:szCs w:val="28"/>
        </w:rPr>
        <w:t>) в условиях концентрации</w:t>
      </w:r>
      <w:r w:rsidR="0051224E" w:rsidRPr="004E6C14">
        <w:rPr>
          <w:rFonts w:ascii="Times New Roman" w:hAnsi="Times New Roman"/>
          <w:sz w:val="28"/>
          <w:szCs w:val="28"/>
        </w:rPr>
        <w:t xml:space="preserve"> энергоемких производств в промышленн</w:t>
      </w:r>
      <w:r w:rsidR="009D1BF8">
        <w:rPr>
          <w:rFonts w:ascii="Times New Roman" w:hAnsi="Times New Roman"/>
          <w:sz w:val="28"/>
          <w:szCs w:val="28"/>
        </w:rPr>
        <w:t>ом</w:t>
      </w:r>
      <w:r w:rsidR="0051224E" w:rsidRPr="004E6C14">
        <w:rPr>
          <w:rFonts w:ascii="Times New Roman" w:hAnsi="Times New Roman"/>
          <w:sz w:val="28"/>
          <w:szCs w:val="28"/>
        </w:rPr>
        <w:t xml:space="preserve"> сектор</w:t>
      </w:r>
      <w:r w:rsidR="009D1BF8">
        <w:rPr>
          <w:rFonts w:ascii="Times New Roman" w:hAnsi="Times New Roman"/>
          <w:sz w:val="28"/>
          <w:szCs w:val="28"/>
        </w:rPr>
        <w:t>е национальной экономики, показывающем самый высокий</w:t>
      </w:r>
      <w:r w:rsidR="009D1BF8" w:rsidRPr="004E6C14">
        <w:rPr>
          <w:rFonts w:ascii="Times New Roman" w:hAnsi="Times New Roman"/>
          <w:sz w:val="28"/>
          <w:szCs w:val="28"/>
        </w:rPr>
        <w:t xml:space="preserve"> уров</w:t>
      </w:r>
      <w:r w:rsidR="009D1BF8">
        <w:rPr>
          <w:rFonts w:ascii="Times New Roman" w:hAnsi="Times New Roman"/>
          <w:sz w:val="28"/>
          <w:szCs w:val="28"/>
        </w:rPr>
        <w:t>е</w:t>
      </w:r>
      <w:r w:rsidR="009D1BF8" w:rsidRPr="004E6C14">
        <w:rPr>
          <w:rFonts w:ascii="Times New Roman" w:hAnsi="Times New Roman"/>
          <w:sz w:val="28"/>
          <w:szCs w:val="28"/>
        </w:rPr>
        <w:t>н</w:t>
      </w:r>
      <w:r w:rsidR="009D1BF8">
        <w:rPr>
          <w:rFonts w:ascii="Times New Roman" w:hAnsi="Times New Roman"/>
          <w:sz w:val="28"/>
          <w:szCs w:val="28"/>
        </w:rPr>
        <w:t>ь</w:t>
      </w:r>
      <w:r w:rsidR="009D1BF8" w:rsidRPr="004E6C14">
        <w:rPr>
          <w:rFonts w:ascii="Times New Roman" w:hAnsi="Times New Roman"/>
          <w:sz w:val="28"/>
          <w:szCs w:val="28"/>
        </w:rPr>
        <w:t xml:space="preserve"> энерго</w:t>
      </w:r>
      <w:r w:rsidR="00AE5E75">
        <w:rPr>
          <w:rFonts w:ascii="Times New Roman" w:hAnsi="Times New Roman"/>
          <w:sz w:val="28"/>
          <w:szCs w:val="28"/>
        </w:rPr>
        <w:t>затрат</w:t>
      </w:r>
      <w:r w:rsidR="009D1BF8" w:rsidRPr="004E6C14">
        <w:rPr>
          <w:rFonts w:ascii="Times New Roman" w:hAnsi="Times New Roman"/>
          <w:sz w:val="28"/>
          <w:szCs w:val="28"/>
        </w:rPr>
        <w:t xml:space="preserve"> </w:t>
      </w:r>
      <w:r w:rsidR="00AE5E75">
        <w:rPr>
          <w:rFonts w:ascii="Times New Roman" w:hAnsi="Times New Roman"/>
          <w:sz w:val="28"/>
          <w:szCs w:val="28"/>
        </w:rPr>
        <w:t xml:space="preserve">на </w:t>
      </w:r>
      <w:r w:rsidR="009D1BF8" w:rsidRPr="004E6C14">
        <w:rPr>
          <w:rFonts w:ascii="Times New Roman" w:hAnsi="Times New Roman"/>
          <w:sz w:val="28"/>
          <w:szCs w:val="28"/>
        </w:rPr>
        <w:t>производств</w:t>
      </w:r>
      <w:r w:rsidR="00AE5E75">
        <w:rPr>
          <w:rFonts w:ascii="Times New Roman" w:hAnsi="Times New Roman"/>
          <w:sz w:val="28"/>
          <w:szCs w:val="28"/>
        </w:rPr>
        <w:t>о единицы</w:t>
      </w:r>
      <w:r w:rsidR="009D1BF8" w:rsidRPr="004E6C14">
        <w:rPr>
          <w:rFonts w:ascii="Times New Roman" w:hAnsi="Times New Roman"/>
          <w:sz w:val="28"/>
          <w:szCs w:val="28"/>
        </w:rPr>
        <w:t xml:space="preserve"> валовой добавленной стоимости</w:t>
      </w:r>
      <w:r w:rsidR="009D1BF8">
        <w:rPr>
          <w:rFonts w:ascii="Times New Roman" w:hAnsi="Times New Roman"/>
          <w:sz w:val="28"/>
          <w:szCs w:val="28"/>
        </w:rPr>
        <w:t xml:space="preserve">, </w:t>
      </w:r>
      <w:r w:rsidR="00AE5E75">
        <w:rPr>
          <w:rFonts w:ascii="Times New Roman" w:hAnsi="Times New Roman"/>
          <w:sz w:val="28"/>
          <w:szCs w:val="28"/>
        </w:rPr>
        <w:t xml:space="preserve">и негативного действия </w:t>
      </w:r>
      <w:r w:rsidR="0051224E" w:rsidRPr="004E6C14">
        <w:rPr>
          <w:rFonts w:ascii="Times New Roman" w:hAnsi="Times New Roman"/>
          <w:sz w:val="28"/>
          <w:szCs w:val="28"/>
        </w:rPr>
        <w:t>объективны</w:t>
      </w:r>
      <w:r w:rsidR="00AE5E75">
        <w:rPr>
          <w:rFonts w:ascii="Times New Roman" w:hAnsi="Times New Roman"/>
          <w:sz w:val="28"/>
          <w:szCs w:val="28"/>
        </w:rPr>
        <w:t>х</w:t>
      </w:r>
      <w:r w:rsidR="0051224E" w:rsidRPr="004E6C14">
        <w:rPr>
          <w:rFonts w:ascii="Times New Roman" w:hAnsi="Times New Roman"/>
          <w:sz w:val="28"/>
          <w:szCs w:val="28"/>
        </w:rPr>
        <w:t xml:space="preserve"> фактор</w:t>
      </w:r>
      <w:r w:rsidR="00AE5E75">
        <w:rPr>
          <w:rFonts w:ascii="Times New Roman" w:hAnsi="Times New Roman"/>
          <w:sz w:val="28"/>
          <w:szCs w:val="28"/>
        </w:rPr>
        <w:t xml:space="preserve">ов, связанных с </w:t>
      </w:r>
      <w:r w:rsidR="0051224E" w:rsidRPr="004E6C14">
        <w:rPr>
          <w:rFonts w:ascii="Times New Roman" w:hAnsi="Times New Roman"/>
          <w:sz w:val="28"/>
          <w:szCs w:val="28"/>
        </w:rPr>
        <w:t xml:space="preserve">высоким уровнем износа основных фондов </w:t>
      </w:r>
      <w:r w:rsidR="00AE5E75">
        <w:rPr>
          <w:rFonts w:ascii="Times New Roman" w:hAnsi="Times New Roman"/>
          <w:sz w:val="28"/>
          <w:szCs w:val="28"/>
        </w:rPr>
        <w:t xml:space="preserve">и </w:t>
      </w:r>
      <w:r w:rsidR="0051224E" w:rsidRPr="004E6C14">
        <w:rPr>
          <w:rFonts w:ascii="Times New Roman" w:hAnsi="Times New Roman"/>
          <w:sz w:val="28"/>
          <w:szCs w:val="28"/>
        </w:rPr>
        <w:t xml:space="preserve">их медленным обновлением, </w:t>
      </w:r>
      <w:r w:rsidR="00AE5E75">
        <w:rPr>
          <w:rFonts w:ascii="Times New Roman" w:hAnsi="Times New Roman"/>
          <w:sz w:val="28"/>
          <w:szCs w:val="28"/>
        </w:rPr>
        <w:t xml:space="preserve">дополнительно </w:t>
      </w:r>
      <w:r w:rsidR="0051224E" w:rsidRPr="004E6C14">
        <w:rPr>
          <w:rFonts w:ascii="Times New Roman" w:hAnsi="Times New Roman"/>
          <w:sz w:val="28"/>
          <w:szCs w:val="28"/>
        </w:rPr>
        <w:t>опосредова</w:t>
      </w:r>
      <w:r w:rsidR="0051224E" w:rsidRPr="004E6C14">
        <w:rPr>
          <w:rFonts w:ascii="Times New Roman" w:hAnsi="Times New Roman"/>
          <w:sz w:val="28"/>
          <w:szCs w:val="28"/>
        </w:rPr>
        <w:t>н</w:t>
      </w:r>
      <w:r w:rsidR="0051224E" w:rsidRPr="004E6C14">
        <w:rPr>
          <w:rFonts w:ascii="Times New Roman" w:hAnsi="Times New Roman"/>
          <w:sz w:val="28"/>
          <w:szCs w:val="28"/>
        </w:rPr>
        <w:t>ны</w:t>
      </w:r>
      <w:r w:rsidR="00467E09">
        <w:rPr>
          <w:rFonts w:ascii="Times New Roman" w:hAnsi="Times New Roman"/>
          <w:sz w:val="28"/>
          <w:szCs w:val="28"/>
        </w:rPr>
        <w:t>х</w:t>
      </w:r>
      <w:r w:rsidR="0051224E" w:rsidRPr="004E6C14">
        <w:rPr>
          <w:rFonts w:ascii="Times New Roman" w:hAnsi="Times New Roman"/>
          <w:sz w:val="28"/>
          <w:szCs w:val="28"/>
        </w:rPr>
        <w:t xml:space="preserve"> спец</w:t>
      </w:r>
      <w:r w:rsidR="00AE5E75">
        <w:rPr>
          <w:rFonts w:ascii="Times New Roman" w:hAnsi="Times New Roman"/>
          <w:sz w:val="28"/>
          <w:szCs w:val="28"/>
        </w:rPr>
        <w:t>ификой инвестиционных процессов</w:t>
      </w:r>
      <w:r w:rsidR="00467E09">
        <w:rPr>
          <w:rFonts w:ascii="Times New Roman" w:hAnsi="Times New Roman"/>
          <w:sz w:val="28"/>
          <w:szCs w:val="28"/>
        </w:rPr>
        <w:t xml:space="preserve">, когда </w:t>
      </w:r>
      <w:r w:rsidR="00467E09" w:rsidRPr="00467E09">
        <w:rPr>
          <w:rFonts w:ascii="Times New Roman" w:hAnsi="Times New Roman"/>
          <w:sz w:val="28"/>
          <w:szCs w:val="28"/>
        </w:rPr>
        <w:t>в сферах добычи полезных ископаемых и обрабатывающих производств</w:t>
      </w:r>
      <w:r w:rsidR="00467E09">
        <w:rPr>
          <w:rFonts w:ascii="Times New Roman" w:hAnsi="Times New Roman"/>
          <w:sz w:val="28"/>
          <w:szCs w:val="28"/>
        </w:rPr>
        <w:t xml:space="preserve"> инвестиции в основной капитал растут темпами, более чем в два раза отстающими от аналогичных показателей по экономике в среднем</w:t>
      </w:r>
      <w:r w:rsidR="00AE5E75">
        <w:rPr>
          <w:rFonts w:ascii="Times New Roman" w:hAnsi="Times New Roman"/>
          <w:sz w:val="28"/>
          <w:szCs w:val="28"/>
        </w:rPr>
        <w:t xml:space="preserve">; </w:t>
      </w:r>
    </w:p>
    <w:p w:rsidR="00084E0B" w:rsidRDefault="00467E09" w:rsidP="007249E6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49E6">
        <w:rPr>
          <w:rFonts w:ascii="Times New Roman" w:hAnsi="Times New Roman"/>
          <w:sz w:val="28"/>
          <w:szCs w:val="28"/>
        </w:rPr>
        <w:t xml:space="preserve">предложен механизм </w:t>
      </w:r>
      <w:r w:rsidR="004312E4">
        <w:rPr>
          <w:rFonts w:ascii="Times New Roman" w:hAnsi="Times New Roman"/>
          <w:sz w:val="28"/>
          <w:szCs w:val="28"/>
        </w:rPr>
        <w:t>формирования</w:t>
      </w:r>
      <w:r w:rsidR="004312E4" w:rsidRPr="007249E6">
        <w:rPr>
          <w:rFonts w:ascii="Times New Roman" w:hAnsi="Times New Roman"/>
          <w:sz w:val="28"/>
          <w:szCs w:val="28"/>
        </w:rPr>
        <w:t xml:space="preserve"> энергосервисных кластеров</w:t>
      </w:r>
      <w:r w:rsidR="004312E4">
        <w:rPr>
          <w:rFonts w:ascii="Times New Roman" w:hAnsi="Times New Roman"/>
          <w:sz w:val="28"/>
          <w:szCs w:val="28"/>
        </w:rPr>
        <w:t>, расш</w:t>
      </w:r>
      <w:r w:rsidR="004312E4">
        <w:rPr>
          <w:rFonts w:ascii="Times New Roman" w:hAnsi="Times New Roman"/>
          <w:sz w:val="28"/>
          <w:szCs w:val="28"/>
        </w:rPr>
        <w:t>и</w:t>
      </w:r>
      <w:r w:rsidR="004312E4">
        <w:rPr>
          <w:rFonts w:ascii="Times New Roman" w:hAnsi="Times New Roman"/>
          <w:sz w:val="28"/>
          <w:szCs w:val="28"/>
        </w:rPr>
        <w:t xml:space="preserve">ряющих потенциальные возможности существующих институтов развития (Сколково, Роснано и др., </w:t>
      </w:r>
      <w:r w:rsidR="004312E4" w:rsidRPr="007249E6">
        <w:rPr>
          <w:rFonts w:ascii="Times New Roman" w:hAnsi="Times New Roman"/>
          <w:sz w:val="28"/>
          <w:szCs w:val="28"/>
        </w:rPr>
        <w:t>функционирую</w:t>
      </w:r>
      <w:r w:rsidR="00084E0B">
        <w:rPr>
          <w:rFonts w:ascii="Times New Roman" w:hAnsi="Times New Roman"/>
          <w:sz w:val="28"/>
          <w:szCs w:val="28"/>
        </w:rPr>
        <w:t>щих</w:t>
      </w:r>
      <w:r w:rsidR="004312E4" w:rsidRPr="007249E6">
        <w:rPr>
          <w:rFonts w:ascii="Times New Roman" w:hAnsi="Times New Roman"/>
          <w:sz w:val="28"/>
          <w:szCs w:val="28"/>
        </w:rPr>
        <w:t xml:space="preserve"> в очень в узком </w:t>
      </w:r>
      <w:r w:rsidR="004312E4">
        <w:rPr>
          <w:rFonts w:ascii="Times New Roman" w:hAnsi="Times New Roman"/>
          <w:sz w:val="28"/>
          <w:szCs w:val="28"/>
        </w:rPr>
        <w:t xml:space="preserve">пространстве), </w:t>
      </w:r>
      <w:r w:rsidR="00084E0B">
        <w:rPr>
          <w:rFonts w:ascii="Times New Roman" w:hAnsi="Times New Roman"/>
          <w:sz w:val="28"/>
          <w:szCs w:val="28"/>
        </w:rPr>
        <w:t>ядром</w:t>
      </w:r>
      <w:r w:rsidR="004312E4">
        <w:rPr>
          <w:rFonts w:ascii="Times New Roman" w:hAnsi="Times New Roman"/>
          <w:sz w:val="28"/>
          <w:szCs w:val="28"/>
        </w:rPr>
        <w:t xml:space="preserve"> которых </w:t>
      </w:r>
      <w:r w:rsidR="007249E6" w:rsidRPr="007249E6">
        <w:rPr>
          <w:rFonts w:ascii="Times New Roman" w:hAnsi="Times New Roman"/>
          <w:sz w:val="28"/>
          <w:szCs w:val="28"/>
        </w:rPr>
        <w:t>должны стать энергосервисные компании, управляющие реализацией конкретных проектов по энергосбереж</w:t>
      </w:r>
      <w:r w:rsidR="007249E6" w:rsidRPr="007249E6">
        <w:rPr>
          <w:rFonts w:ascii="Times New Roman" w:hAnsi="Times New Roman"/>
          <w:sz w:val="28"/>
          <w:szCs w:val="28"/>
        </w:rPr>
        <w:t>е</w:t>
      </w:r>
      <w:r w:rsidR="007249E6" w:rsidRPr="007249E6">
        <w:rPr>
          <w:rFonts w:ascii="Times New Roman" w:hAnsi="Times New Roman"/>
          <w:sz w:val="28"/>
          <w:szCs w:val="28"/>
        </w:rPr>
        <w:t>нию на предприятиях промышленного комплекса</w:t>
      </w:r>
      <w:r w:rsidR="00084E0B">
        <w:rPr>
          <w:rFonts w:ascii="Times New Roman" w:hAnsi="Times New Roman"/>
          <w:sz w:val="28"/>
          <w:szCs w:val="28"/>
        </w:rPr>
        <w:t>, и интегрированные с производит</w:t>
      </w:r>
      <w:r w:rsidR="00084E0B">
        <w:rPr>
          <w:rFonts w:ascii="Times New Roman" w:hAnsi="Times New Roman"/>
          <w:sz w:val="28"/>
          <w:szCs w:val="28"/>
        </w:rPr>
        <w:t>е</w:t>
      </w:r>
      <w:r w:rsidR="00084E0B">
        <w:rPr>
          <w:rFonts w:ascii="Times New Roman" w:hAnsi="Times New Roman"/>
          <w:sz w:val="28"/>
          <w:szCs w:val="28"/>
        </w:rPr>
        <w:t>лями</w:t>
      </w:r>
      <w:r w:rsidR="00084E0B" w:rsidRPr="007249E6">
        <w:rPr>
          <w:rFonts w:ascii="Times New Roman" w:hAnsi="Times New Roman"/>
          <w:sz w:val="28"/>
          <w:szCs w:val="28"/>
        </w:rPr>
        <w:t xml:space="preserve"> и поставщик</w:t>
      </w:r>
      <w:r w:rsidR="00084E0B">
        <w:rPr>
          <w:rFonts w:ascii="Times New Roman" w:hAnsi="Times New Roman"/>
          <w:sz w:val="28"/>
          <w:szCs w:val="28"/>
        </w:rPr>
        <w:t>ами</w:t>
      </w:r>
      <w:r w:rsidR="00084E0B" w:rsidRPr="007249E6">
        <w:rPr>
          <w:rFonts w:ascii="Times New Roman" w:hAnsi="Times New Roman"/>
          <w:sz w:val="28"/>
          <w:szCs w:val="28"/>
        </w:rPr>
        <w:t xml:space="preserve"> энергоэффективного оборудования и производственных технологий</w:t>
      </w:r>
      <w:r w:rsidR="00084E0B">
        <w:rPr>
          <w:rFonts w:ascii="Times New Roman" w:hAnsi="Times New Roman"/>
          <w:sz w:val="28"/>
          <w:szCs w:val="28"/>
        </w:rPr>
        <w:t xml:space="preserve">, </w:t>
      </w:r>
      <w:r w:rsidR="00084E0B" w:rsidRPr="007249E6">
        <w:rPr>
          <w:rFonts w:ascii="Times New Roman" w:hAnsi="Times New Roman"/>
          <w:sz w:val="28"/>
          <w:szCs w:val="28"/>
        </w:rPr>
        <w:t>научно-исследовательски</w:t>
      </w:r>
      <w:r w:rsidR="00084E0B">
        <w:rPr>
          <w:rFonts w:ascii="Times New Roman" w:hAnsi="Times New Roman"/>
          <w:sz w:val="28"/>
          <w:szCs w:val="28"/>
        </w:rPr>
        <w:t xml:space="preserve">ми, образовательными, </w:t>
      </w:r>
      <w:r w:rsidR="00084E0B" w:rsidRPr="007249E6">
        <w:rPr>
          <w:rFonts w:ascii="Times New Roman" w:hAnsi="Times New Roman"/>
          <w:sz w:val="28"/>
          <w:szCs w:val="28"/>
        </w:rPr>
        <w:t>ремонтно-монтажны</w:t>
      </w:r>
      <w:r w:rsidR="00084E0B">
        <w:rPr>
          <w:rFonts w:ascii="Times New Roman" w:hAnsi="Times New Roman"/>
          <w:sz w:val="28"/>
          <w:szCs w:val="28"/>
        </w:rPr>
        <w:t xml:space="preserve">ми, </w:t>
      </w:r>
      <w:r w:rsidR="00084E0B" w:rsidRPr="007249E6">
        <w:rPr>
          <w:rFonts w:ascii="Times New Roman" w:hAnsi="Times New Roman"/>
          <w:sz w:val="28"/>
          <w:szCs w:val="28"/>
        </w:rPr>
        <w:t>финансовы</w:t>
      </w:r>
      <w:r w:rsidR="00084E0B">
        <w:rPr>
          <w:rFonts w:ascii="Times New Roman" w:hAnsi="Times New Roman"/>
          <w:sz w:val="28"/>
          <w:szCs w:val="28"/>
        </w:rPr>
        <w:t>ми</w:t>
      </w:r>
      <w:r w:rsidR="00D967FB">
        <w:rPr>
          <w:rFonts w:ascii="Times New Roman" w:hAnsi="Times New Roman"/>
          <w:sz w:val="28"/>
          <w:szCs w:val="28"/>
        </w:rPr>
        <w:t xml:space="preserve"> и</w:t>
      </w:r>
      <w:r w:rsidR="00084E0B" w:rsidRPr="00084E0B">
        <w:rPr>
          <w:rFonts w:ascii="Times New Roman" w:hAnsi="Times New Roman"/>
          <w:sz w:val="28"/>
          <w:szCs w:val="28"/>
        </w:rPr>
        <w:t xml:space="preserve"> </w:t>
      </w:r>
      <w:r w:rsidR="00084E0B" w:rsidRPr="007249E6">
        <w:rPr>
          <w:rFonts w:ascii="Times New Roman" w:hAnsi="Times New Roman"/>
          <w:sz w:val="28"/>
          <w:szCs w:val="28"/>
        </w:rPr>
        <w:t>инфраструктур</w:t>
      </w:r>
      <w:r w:rsidR="00084E0B">
        <w:rPr>
          <w:rFonts w:ascii="Times New Roman" w:hAnsi="Times New Roman"/>
          <w:sz w:val="28"/>
          <w:szCs w:val="28"/>
        </w:rPr>
        <w:t xml:space="preserve">ными </w:t>
      </w:r>
      <w:r w:rsidR="00084E0B" w:rsidRPr="007249E6">
        <w:rPr>
          <w:rFonts w:ascii="Times New Roman" w:hAnsi="Times New Roman"/>
          <w:sz w:val="28"/>
          <w:szCs w:val="28"/>
        </w:rPr>
        <w:t>организаци</w:t>
      </w:r>
      <w:r w:rsidR="00084E0B">
        <w:rPr>
          <w:rFonts w:ascii="Times New Roman" w:hAnsi="Times New Roman"/>
          <w:sz w:val="28"/>
          <w:szCs w:val="28"/>
        </w:rPr>
        <w:t xml:space="preserve">ями, а также с </w:t>
      </w:r>
      <w:r w:rsidR="00084E0B" w:rsidRPr="007249E6">
        <w:rPr>
          <w:rFonts w:ascii="Times New Roman" w:hAnsi="Times New Roman"/>
          <w:sz w:val="28"/>
          <w:szCs w:val="28"/>
        </w:rPr>
        <w:t>представительства</w:t>
      </w:r>
      <w:r w:rsidR="00084E0B">
        <w:rPr>
          <w:rFonts w:ascii="Times New Roman" w:hAnsi="Times New Roman"/>
          <w:sz w:val="28"/>
          <w:szCs w:val="28"/>
        </w:rPr>
        <w:t>ми</w:t>
      </w:r>
      <w:r w:rsidR="00084E0B" w:rsidRPr="007249E6">
        <w:rPr>
          <w:rFonts w:ascii="Times New Roman" w:hAnsi="Times New Roman"/>
          <w:sz w:val="28"/>
          <w:szCs w:val="28"/>
        </w:rPr>
        <w:t xml:space="preserve"> компетентных учреждений государстве</w:t>
      </w:r>
      <w:r w:rsidR="00084E0B" w:rsidRPr="007249E6">
        <w:rPr>
          <w:rFonts w:ascii="Times New Roman" w:hAnsi="Times New Roman"/>
          <w:sz w:val="28"/>
          <w:szCs w:val="28"/>
        </w:rPr>
        <w:t>н</w:t>
      </w:r>
      <w:r w:rsidR="00084E0B" w:rsidRPr="007249E6">
        <w:rPr>
          <w:rFonts w:ascii="Times New Roman" w:hAnsi="Times New Roman"/>
          <w:sz w:val="28"/>
          <w:szCs w:val="28"/>
        </w:rPr>
        <w:t>ной власти</w:t>
      </w:r>
      <w:r w:rsidR="00D967FB">
        <w:rPr>
          <w:rFonts w:ascii="Times New Roman" w:hAnsi="Times New Roman"/>
          <w:sz w:val="28"/>
          <w:szCs w:val="28"/>
        </w:rPr>
        <w:t xml:space="preserve">, что позволит повысить заинтересованность хозяйствующих субъектов в </w:t>
      </w:r>
      <w:r w:rsidR="00A96C1D">
        <w:rPr>
          <w:rFonts w:ascii="Times New Roman" w:hAnsi="Times New Roman"/>
          <w:sz w:val="28"/>
          <w:szCs w:val="28"/>
        </w:rPr>
        <w:t xml:space="preserve">полноценной </w:t>
      </w:r>
      <w:r w:rsidR="00D967FB">
        <w:rPr>
          <w:rFonts w:ascii="Times New Roman" w:hAnsi="Times New Roman"/>
          <w:sz w:val="28"/>
          <w:szCs w:val="28"/>
        </w:rPr>
        <w:t xml:space="preserve">капитализации </w:t>
      </w:r>
      <w:r w:rsidR="00D967FB" w:rsidRPr="00D967FB">
        <w:rPr>
          <w:rFonts w:ascii="Times New Roman" w:hAnsi="Times New Roman"/>
          <w:sz w:val="28"/>
          <w:szCs w:val="28"/>
        </w:rPr>
        <w:t>эффектов от снижения энергоемкости добавленной стоимости</w:t>
      </w:r>
      <w:r w:rsidR="00D967FB">
        <w:rPr>
          <w:rFonts w:ascii="Times New Roman" w:hAnsi="Times New Roman"/>
          <w:sz w:val="28"/>
          <w:szCs w:val="28"/>
        </w:rPr>
        <w:t xml:space="preserve">; </w:t>
      </w:r>
    </w:p>
    <w:p w:rsidR="00467E09" w:rsidRDefault="00A96C1D" w:rsidP="00666F94">
      <w:pPr>
        <w:tabs>
          <w:tab w:val="left" w:pos="3645"/>
          <w:tab w:val="left" w:pos="8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разработан механизм </w:t>
      </w:r>
      <w:r w:rsidRPr="00A96C1D">
        <w:rPr>
          <w:rFonts w:ascii="Times New Roman" w:hAnsi="Times New Roman"/>
          <w:sz w:val="28"/>
          <w:szCs w:val="28"/>
        </w:rPr>
        <w:t>государственно-частного партнерства</w:t>
      </w:r>
      <w:r w:rsidR="00443BE3">
        <w:rPr>
          <w:rFonts w:ascii="Times New Roman" w:hAnsi="Times New Roman"/>
          <w:sz w:val="28"/>
          <w:szCs w:val="28"/>
        </w:rPr>
        <w:t xml:space="preserve"> </w:t>
      </w:r>
      <w:r w:rsidRPr="00A96C1D">
        <w:rPr>
          <w:rFonts w:ascii="Times New Roman" w:hAnsi="Times New Roman"/>
          <w:sz w:val="28"/>
          <w:szCs w:val="28"/>
        </w:rPr>
        <w:t>для по</w:t>
      </w:r>
      <w:r w:rsidRPr="00A96C1D">
        <w:rPr>
          <w:rFonts w:ascii="Times New Roman" w:hAnsi="Times New Roman"/>
          <w:sz w:val="28"/>
          <w:szCs w:val="28"/>
        </w:rPr>
        <w:t>д</w:t>
      </w:r>
      <w:r w:rsidRPr="00A96C1D">
        <w:rPr>
          <w:rFonts w:ascii="Times New Roman" w:hAnsi="Times New Roman"/>
          <w:sz w:val="28"/>
          <w:szCs w:val="28"/>
        </w:rPr>
        <w:t>держки развития института энергосервисных ко</w:t>
      </w:r>
      <w:r w:rsidRPr="00A96C1D">
        <w:rPr>
          <w:rFonts w:ascii="Times New Roman" w:hAnsi="Times New Roman"/>
          <w:sz w:val="28"/>
          <w:szCs w:val="28"/>
        </w:rPr>
        <w:t>н</w:t>
      </w:r>
      <w:r w:rsidRPr="00A96C1D">
        <w:rPr>
          <w:rFonts w:ascii="Times New Roman" w:hAnsi="Times New Roman"/>
          <w:sz w:val="28"/>
          <w:szCs w:val="28"/>
        </w:rPr>
        <w:t>трактов, в т</w:t>
      </w:r>
      <w:r w:rsidR="00443BE3">
        <w:rPr>
          <w:rFonts w:ascii="Times New Roman" w:hAnsi="Times New Roman"/>
          <w:sz w:val="28"/>
          <w:szCs w:val="28"/>
        </w:rPr>
        <w:t>ом числе</w:t>
      </w:r>
      <w:r w:rsidRPr="00A96C1D">
        <w:rPr>
          <w:rFonts w:ascii="Times New Roman" w:hAnsi="Times New Roman"/>
          <w:sz w:val="28"/>
          <w:szCs w:val="28"/>
        </w:rPr>
        <w:t xml:space="preserve"> реализуемых по принципу раздела экономии, </w:t>
      </w:r>
      <w:r w:rsidR="00443BE3" w:rsidRPr="00443BE3">
        <w:rPr>
          <w:rFonts w:ascii="Times New Roman" w:hAnsi="Times New Roman"/>
          <w:sz w:val="28"/>
          <w:szCs w:val="28"/>
        </w:rPr>
        <w:t xml:space="preserve">субъектами </w:t>
      </w:r>
      <w:r w:rsidR="00443BE3">
        <w:rPr>
          <w:rFonts w:ascii="Times New Roman" w:hAnsi="Times New Roman"/>
          <w:sz w:val="28"/>
          <w:szCs w:val="28"/>
        </w:rPr>
        <w:t>которого</w:t>
      </w:r>
      <w:r w:rsidR="00443BE3" w:rsidRPr="00443BE3">
        <w:rPr>
          <w:rFonts w:ascii="Times New Roman" w:hAnsi="Times New Roman"/>
          <w:sz w:val="28"/>
          <w:szCs w:val="28"/>
        </w:rPr>
        <w:t xml:space="preserve"> </w:t>
      </w:r>
      <w:r w:rsidR="00A90BC3">
        <w:rPr>
          <w:rFonts w:ascii="Times New Roman" w:hAnsi="Times New Roman"/>
          <w:sz w:val="28"/>
          <w:szCs w:val="28"/>
        </w:rPr>
        <w:t>выступают</w:t>
      </w:r>
      <w:r w:rsidR="00443BE3" w:rsidRPr="00443BE3">
        <w:rPr>
          <w:rFonts w:ascii="Times New Roman" w:hAnsi="Times New Roman"/>
          <w:sz w:val="28"/>
          <w:szCs w:val="28"/>
        </w:rPr>
        <w:t xml:space="preserve"> государство и кредиторы</w:t>
      </w:r>
      <w:r w:rsidR="00A90BC3">
        <w:rPr>
          <w:rFonts w:ascii="Times New Roman" w:hAnsi="Times New Roman"/>
          <w:sz w:val="28"/>
          <w:szCs w:val="28"/>
        </w:rPr>
        <w:t>,</w:t>
      </w:r>
      <w:r w:rsidR="00443BE3" w:rsidRPr="00443BE3">
        <w:rPr>
          <w:rFonts w:ascii="Times New Roman" w:hAnsi="Times New Roman"/>
          <w:sz w:val="28"/>
          <w:szCs w:val="28"/>
        </w:rPr>
        <w:t xml:space="preserve"> а объектом </w:t>
      </w:r>
      <w:r w:rsidR="00A90BC3">
        <w:rPr>
          <w:rFonts w:ascii="Times New Roman" w:hAnsi="Times New Roman"/>
          <w:sz w:val="28"/>
          <w:szCs w:val="28"/>
        </w:rPr>
        <w:t>является</w:t>
      </w:r>
      <w:r w:rsidR="00443BE3" w:rsidRPr="00443BE3">
        <w:rPr>
          <w:rFonts w:ascii="Times New Roman" w:hAnsi="Times New Roman"/>
          <w:sz w:val="28"/>
          <w:szCs w:val="28"/>
        </w:rPr>
        <w:t xml:space="preserve"> энергосервисная компания и отдельные энергосервисные проекты</w:t>
      </w:r>
      <w:r w:rsidR="00443BE3">
        <w:rPr>
          <w:rFonts w:ascii="Times New Roman" w:hAnsi="Times New Roman"/>
          <w:sz w:val="28"/>
          <w:szCs w:val="28"/>
        </w:rPr>
        <w:t xml:space="preserve">, что позволит задействовать инструменты </w:t>
      </w:r>
      <w:r w:rsidR="00443BE3" w:rsidRPr="00443BE3">
        <w:rPr>
          <w:rFonts w:ascii="Times New Roman" w:hAnsi="Times New Roman"/>
          <w:sz w:val="28"/>
          <w:szCs w:val="28"/>
        </w:rPr>
        <w:t>субсидирован</w:t>
      </w:r>
      <w:r w:rsidR="00443BE3">
        <w:rPr>
          <w:rFonts w:ascii="Times New Roman" w:hAnsi="Times New Roman"/>
          <w:sz w:val="28"/>
          <w:szCs w:val="28"/>
        </w:rPr>
        <w:t>ия</w:t>
      </w:r>
      <w:r w:rsidR="00443BE3" w:rsidRPr="00443BE3">
        <w:rPr>
          <w:rFonts w:ascii="Times New Roman" w:hAnsi="Times New Roman"/>
          <w:sz w:val="28"/>
          <w:szCs w:val="28"/>
        </w:rPr>
        <w:t xml:space="preserve"> процентной ставк</w:t>
      </w:r>
      <w:r w:rsidR="00443BE3">
        <w:rPr>
          <w:rFonts w:ascii="Times New Roman" w:hAnsi="Times New Roman"/>
          <w:sz w:val="28"/>
          <w:szCs w:val="28"/>
        </w:rPr>
        <w:t xml:space="preserve">и, </w:t>
      </w:r>
      <w:r w:rsidR="00443BE3" w:rsidRPr="00443BE3">
        <w:rPr>
          <w:rFonts w:ascii="Times New Roman" w:hAnsi="Times New Roman"/>
          <w:sz w:val="28"/>
          <w:szCs w:val="28"/>
        </w:rPr>
        <w:t>гарантировани</w:t>
      </w:r>
      <w:r w:rsidR="00443BE3">
        <w:rPr>
          <w:rFonts w:ascii="Times New Roman" w:hAnsi="Times New Roman"/>
          <w:sz w:val="28"/>
          <w:szCs w:val="28"/>
        </w:rPr>
        <w:t>я</w:t>
      </w:r>
      <w:r w:rsidR="00443BE3" w:rsidRPr="00443BE3">
        <w:rPr>
          <w:rFonts w:ascii="Times New Roman" w:hAnsi="Times New Roman"/>
          <w:sz w:val="28"/>
          <w:szCs w:val="28"/>
        </w:rPr>
        <w:t xml:space="preserve"> государством кредитов</w:t>
      </w:r>
      <w:r w:rsidR="00443BE3">
        <w:rPr>
          <w:rFonts w:ascii="Times New Roman" w:hAnsi="Times New Roman"/>
          <w:sz w:val="28"/>
          <w:szCs w:val="28"/>
        </w:rPr>
        <w:t xml:space="preserve">, </w:t>
      </w:r>
      <w:r w:rsidR="00443BE3" w:rsidRPr="00443BE3">
        <w:rPr>
          <w:rFonts w:ascii="Times New Roman" w:hAnsi="Times New Roman"/>
          <w:sz w:val="28"/>
          <w:szCs w:val="28"/>
        </w:rPr>
        <w:t>применени</w:t>
      </w:r>
      <w:r w:rsidR="00443BE3">
        <w:rPr>
          <w:rFonts w:ascii="Times New Roman" w:hAnsi="Times New Roman"/>
          <w:sz w:val="28"/>
          <w:szCs w:val="28"/>
        </w:rPr>
        <w:t>я</w:t>
      </w:r>
      <w:r w:rsidR="00443BE3" w:rsidRPr="00443BE3">
        <w:rPr>
          <w:rFonts w:ascii="Times New Roman" w:hAnsi="Times New Roman"/>
          <w:sz w:val="28"/>
          <w:szCs w:val="28"/>
        </w:rPr>
        <w:t xml:space="preserve"> комплексного софинансирования</w:t>
      </w:r>
      <w:r w:rsidR="00443BE3">
        <w:rPr>
          <w:rFonts w:ascii="Times New Roman" w:hAnsi="Times New Roman"/>
          <w:sz w:val="28"/>
          <w:szCs w:val="28"/>
        </w:rPr>
        <w:t xml:space="preserve">, предусмотренных федеральным законодательством </w:t>
      </w:r>
      <w:r w:rsidR="00A90BC3">
        <w:rPr>
          <w:rFonts w:ascii="Times New Roman" w:hAnsi="Times New Roman"/>
          <w:sz w:val="28"/>
          <w:szCs w:val="28"/>
        </w:rPr>
        <w:t>о</w:t>
      </w:r>
      <w:r w:rsidR="00A90BC3" w:rsidRPr="00A90BC3">
        <w:rPr>
          <w:rFonts w:ascii="Times New Roman" w:hAnsi="Times New Roman"/>
          <w:sz w:val="28"/>
          <w:szCs w:val="28"/>
        </w:rPr>
        <w:t>б энергосбережении и о повышении энергетической эффективности</w:t>
      </w:r>
      <w:r w:rsidR="00A90BC3">
        <w:rPr>
          <w:rFonts w:ascii="Times New Roman" w:hAnsi="Times New Roman"/>
          <w:sz w:val="28"/>
          <w:szCs w:val="28"/>
        </w:rPr>
        <w:t xml:space="preserve">. </w:t>
      </w:r>
    </w:p>
    <w:p w:rsidR="00A90BC3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Теоретическая значимость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31F6">
        <w:rPr>
          <w:rFonts w:ascii="Times New Roman" w:hAnsi="Times New Roman"/>
          <w:sz w:val="28"/>
          <w:szCs w:val="28"/>
        </w:rPr>
        <w:t>заключ</w:t>
      </w:r>
      <w:r w:rsidR="00A90BC3">
        <w:rPr>
          <w:rFonts w:ascii="Times New Roman" w:hAnsi="Times New Roman"/>
          <w:sz w:val="28"/>
          <w:szCs w:val="28"/>
        </w:rPr>
        <w:t>ена в возможности использования полученных</w:t>
      </w:r>
      <w:r w:rsidR="00DB3C69">
        <w:rPr>
          <w:rFonts w:ascii="Times New Roman" w:hAnsi="Times New Roman"/>
          <w:sz w:val="28"/>
          <w:szCs w:val="28"/>
        </w:rPr>
        <w:t xml:space="preserve"> </w:t>
      </w:r>
      <w:r w:rsidR="005946FA">
        <w:rPr>
          <w:rFonts w:ascii="Times New Roman" w:hAnsi="Times New Roman"/>
          <w:sz w:val="28"/>
          <w:szCs w:val="28"/>
        </w:rPr>
        <w:t xml:space="preserve">научных </w:t>
      </w:r>
      <w:r w:rsidR="00DB3C69">
        <w:rPr>
          <w:rFonts w:ascii="Times New Roman" w:hAnsi="Times New Roman"/>
          <w:sz w:val="28"/>
          <w:szCs w:val="28"/>
        </w:rPr>
        <w:t>результат</w:t>
      </w:r>
      <w:r w:rsidR="00F665A0">
        <w:rPr>
          <w:rFonts w:ascii="Times New Roman" w:hAnsi="Times New Roman"/>
          <w:sz w:val="28"/>
          <w:szCs w:val="28"/>
        </w:rPr>
        <w:t>ов</w:t>
      </w:r>
      <w:r w:rsidR="006231F6">
        <w:rPr>
          <w:rFonts w:ascii="Times New Roman" w:hAnsi="Times New Roman"/>
          <w:sz w:val="28"/>
          <w:szCs w:val="28"/>
        </w:rPr>
        <w:t xml:space="preserve"> </w:t>
      </w:r>
      <w:r w:rsidR="00DB3C69">
        <w:rPr>
          <w:rFonts w:ascii="Times New Roman" w:hAnsi="Times New Roman"/>
          <w:sz w:val="28"/>
          <w:szCs w:val="28"/>
        </w:rPr>
        <w:t>диссертаци</w:t>
      </w:r>
      <w:r w:rsidR="00A90BC3">
        <w:rPr>
          <w:rFonts w:ascii="Times New Roman" w:hAnsi="Times New Roman"/>
          <w:sz w:val="28"/>
          <w:szCs w:val="28"/>
        </w:rPr>
        <w:t>и в</w:t>
      </w:r>
      <w:r w:rsidR="00D14470">
        <w:rPr>
          <w:rFonts w:ascii="Times New Roman" w:hAnsi="Times New Roman"/>
          <w:sz w:val="28"/>
          <w:szCs w:val="28"/>
        </w:rPr>
        <w:t xml:space="preserve"> </w:t>
      </w:r>
      <w:r w:rsidR="00A90BC3">
        <w:rPr>
          <w:rFonts w:ascii="Times New Roman" w:hAnsi="Times New Roman"/>
          <w:sz w:val="28"/>
          <w:szCs w:val="28"/>
        </w:rPr>
        <w:t xml:space="preserve">процессе дальнейшего исследования проблем новой индустриализации применительно к стратегическим ориентирам социально-экономического развития </w:t>
      </w:r>
      <w:r w:rsidR="005604D5">
        <w:rPr>
          <w:rFonts w:ascii="Times New Roman" w:hAnsi="Times New Roman"/>
          <w:sz w:val="28"/>
          <w:szCs w:val="28"/>
        </w:rPr>
        <w:t xml:space="preserve">страны </w:t>
      </w:r>
      <w:r w:rsidR="00A90BC3">
        <w:rPr>
          <w:rFonts w:ascii="Times New Roman" w:hAnsi="Times New Roman"/>
          <w:sz w:val="28"/>
          <w:szCs w:val="28"/>
        </w:rPr>
        <w:t xml:space="preserve">на ближайший и среднесрочный периоды. Кроме того, часть представленных в диссертации теоретических положений и дополнительной аргументации может найти применение </w:t>
      </w:r>
      <w:r w:rsidR="005604D5">
        <w:rPr>
          <w:rFonts w:ascii="Times New Roman" w:hAnsi="Times New Roman"/>
          <w:sz w:val="28"/>
          <w:szCs w:val="28"/>
        </w:rPr>
        <w:t>при</w:t>
      </w:r>
      <w:r w:rsidR="00975DF9">
        <w:rPr>
          <w:rFonts w:ascii="Times New Roman" w:hAnsi="Times New Roman"/>
          <w:sz w:val="28"/>
          <w:szCs w:val="28"/>
        </w:rPr>
        <w:t xml:space="preserve"> разработк</w:t>
      </w:r>
      <w:r w:rsidR="005604D5">
        <w:rPr>
          <w:rFonts w:ascii="Times New Roman" w:hAnsi="Times New Roman"/>
          <w:sz w:val="28"/>
          <w:szCs w:val="28"/>
        </w:rPr>
        <w:t>е</w:t>
      </w:r>
      <w:r w:rsidR="00975DF9">
        <w:rPr>
          <w:rFonts w:ascii="Times New Roman" w:hAnsi="Times New Roman"/>
          <w:sz w:val="28"/>
          <w:szCs w:val="28"/>
        </w:rPr>
        <w:t xml:space="preserve"> антикризисных мероприятий и механизмов восстановления экономического роста в современных условиях трансформации постиндустриального общества и воспроизводственной роли государства. </w:t>
      </w:r>
    </w:p>
    <w:p w:rsidR="00D6398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5DF9">
        <w:rPr>
          <w:rFonts w:ascii="Times New Roman" w:hAnsi="Times New Roman"/>
          <w:sz w:val="28"/>
          <w:szCs w:val="28"/>
        </w:rPr>
        <w:t>определяется тем, что предложенные механизмы формирования</w:t>
      </w:r>
      <w:r w:rsidR="00975DF9" w:rsidRPr="007249E6">
        <w:rPr>
          <w:rFonts w:ascii="Times New Roman" w:hAnsi="Times New Roman"/>
          <w:sz w:val="28"/>
          <w:szCs w:val="28"/>
        </w:rPr>
        <w:t xml:space="preserve"> </w:t>
      </w:r>
      <w:r w:rsidR="00975DF9">
        <w:rPr>
          <w:rFonts w:ascii="Times New Roman" w:hAnsi="Times New Roman"/>
          <w:sz w:val="28"/>
          <w:szCs w:val="28"/>
        </w:rPr>
        <w:t xml:space="preserve">и развития </w:t>
      </w:r>
      <w:r w:rsidR="00975DF9" w:rsidRPr="007249E6">
        <w:rPr>
          <w:rFonts w:ascii="Times New Roman" w:hAnsi="Times New Roman"/>
          <w:sz w:val="28"/>
          <w:szCs w:val="28"/>
        </w:rPr>
        <w:t>энергосерви</w:t>
      </w:r>
      <w:r w:rsidR="00975DF9" w:rsidRPr="007249E6">
        <w:rPr>
          <w:rFonts w:ascii="Times New Roman" w:hAnsi="Times New Roman"/>
          <w:sz w:val="28"/>
          <w:szCs w:val="28"/>
        </w:rPr>
        <w:t>с</w:t>
      </w:r>
      <w:r w:rsidR="00975DF9" w:rsidRPr="007249E6">
        <w:rPr>
          <w:rFonts w:ascii="Times New Roman" w:hAnsi="Times New Roman"/>
          <w:sz w:val="28"/>
          <w:szCs w:val="28"/>
        </w:rPr>
        <w:t>ных кластеров</w:t>
      </w:r>
      <w:r w:rsidR="00975DF9">
        <w:rPr>
          <w:rFonts w:ascii="Times New Roman" w:hAnsi="Times New Roman"/>
          <w:sz w:val="28"/>
          <w:szCs w:val="28"/>
        </w:rPr>
        <w:t xml:space="preserve"> и </w:t>
      </w:r>
      <w:r w:rsidR="00975DF9" w:rsidRPr="00A96C1D">
        <w:rPr>
          <w:rFonts w:ascii="Times New Roman" w:hAnsi="Times New Roman"/>
          <w:sz w:val="28"/>
          <w:szCs w:val="28"/>
        </w:rPr>
        <w:t>государственно-частного партнерства</w:t>
      </w:r>
      <w:r w:rsidR="00975DF9">
        <w:rPr>
          <w:rFonts w:ascii="Times New Roman" w:hAnsi="Times New Roman"/>
          <w:sz w:val="28"/>
          <w:szCs w:val="28"/>
        </w:rPr>
        <w:t xml:space="preserve"> </w:t>
      </w:r>
      <w:r w:rsidR="00975DF9" w:rsidRPr="00A96C1D">
        <w:rPr>
          <w:rFonts w:ascii="Times New Roman" w:hAnsi="Times New Roman"/>
          <w:sz w:val="28"/>
          <w:szCs w:val="28"/>
        </w:rPr>
        <w:t>для по</w:t>
      </w:r>
      <w:r w:rsidR="00975DF9" w:rsidRPr="00A96C1D">
        <w:rPr>
          <w:rFonts w:ascii="Times New Roman" w:hAnsi="Times New Roman"/>
          <w:sz w:val="28"/>
          <w:szCs w:val="28"/>
        </w:rPr>
        <w:t>д</w:t>
      </w:r>
      <w:r w:rsidR="00975DF9" w:rsidRPr="00A96C1D">
        <w:rPr>
          <w:rFonts w:ascii="Times New Roman" w:hAnsi="Times New Roman"/>
          <w:sz w:val="28"/>
          <w:szCs w:val="28"/>
        </w:rPr>
        <w:t>держки развития института энергосервисных контрактов</w:t>
      </w:r>
      <w:r w:rsidR="00975DF9">
        <w:rPr>
          <w:rFonts w:ascii="Times New Roman" w:hAnsi="Times New Roman"/>
          <w:sz w:val="28"/>
          <w:szCs w:val="28"/>
        </w:rPr>
        <w:t xml:space="preserve"> п</w:t>
      </w:r>
      <w:r w:rsidR="00D6398E">
        <w:rPr>
          <w:rFonts w:ascii="Times New Roman" w:hAnsi="Times New Roman"/>
          <w:sz w:val="28"/>
          <w:szCs w:val="28"/>
        </w:rPr>
        <w:t xml:space="preserve">озволяют создать </w:t>
      </w:r>
      <w:r w:rsidR="00975DF9">
        <w:rPr>
          <w:rFonts w:ascii="Times New Roman" w:hAnsi="Times New Roman"/>
          <w:sz w:val="28"/>
          <w:szCs w:val="28"/>
        </w:rPr>
        <w:t>реальные организационно-экономические и управленческие предпосылки</w:t>
      </w:r>
      <w:r w:rsidR="00D6398E">
        <w:rPr>
          <w:rFonts w:ascii="Times New Roman" w:hAnsi="Times New Roman"/>
          <w:sz w:val="28"/>
          <w:szCs w:val="28"/>
        </w:rPr>
        <w:t xml:space="preserve"> </w:t>
      </w:r>
      <w:r w:rsidR="00975DF9">
        <w:rPr>
          <w:rFonts w:ascii="Times New Roman" w:hAnsi="Times New Roman"/>
          <w:sz w:val="28"/>
          <w:szCs w:val="28"/>
        </w:rPr>
        <w:t xml:space="preserve">для </w:t>
      </w:r>
      <w:r w:rsidR="00D6398E">
        <w:rPr>
          <w:rFonts w:ascii="Times New Roman" w:hAnsi="Times New Roman"/>
          <w:sz w:val="28"/>
          <w:szCs w:val="28"/>
        </w:rPr>
        <w:t>более эффективной реализации требований федерального законодател</w:t>
      </w:r>
      <w:r w:rsidR="00D6398E">
        <w:rPr>
          <w:rFonts w:ascii="Times New Roman" w:hAnsi="Times New Roman"/>
          <w:sz w:val="28"/>
          <w:szCs w:val="28"/>
        </w:rPr>
        <w:t>ь</w:t>
      </w:r>
      <w:r w:rsidR="00D6398E">
        <w:rPr>
          <w:rFonts w:ascii="Times New Roman" w:hAnsi="Times New Roman"/>
          <w:sz w:val="28"/>
          <w:szCs w:val="28"/>
        </w:rPr>
        <w:t xml:space="preserve">ства в области </w:t>
      </w:r>
      <w:r w:rsidR="00975DF9" w:rsidRPr="00A90BC3">
        <w:rPr>
          <w:rFonts w:ascii="Times New Roman" w:hAnsi="Times New Roman"/>
          <w:sz w:val="28"/>
          <w:szCs w:val="28"/>
        </w:rPr>
        <w:t>энергосбережени</w:t>
      </w:r>
      <w:r w:rsidR="00975DF9">
        <w:rPr>
          <w:rFonts w:ascii="Times New Roman" w:hAnsi="Times New Roman"/>
          <w:sz w:val="28"/>
          <w:szCs w:val="28"/>
        </w:rPr>
        <w:t>я</w:t>
      </w:r>
      <w:r w:rsidR="00975DF9" w:rsidRPr="00A90BC3">
        <w:rPr>
          <w:rFonts w:ascii="Times New Roman" w:hAnsi="Times New Roman"/>
          <w:sz w:val="28"/>
          <w:szCs w:val="28"/>
        </w:rPr>
        <w:t xml:space="preserve"> и повышени</w:t>
      </w:r>
      <w:r w:rsidR="00975DF9">
        <w:rPr>
          <w:rFonts w:ascii="Times New Roman" w:hAnsi="Times New Roman"/>
          <w:sz w:val="28"/>
          <w:szCs w:val="28"/>
        </w:rPr>
        <w:t>я</w:t>
      </w:r>
      <w:r w:rsidR="00975DF9" w:rsidRPr="00A90BC3">
        <w:rPr>
          <w:rFonts w:ascii="Times New Roman" w:hAnsi="Times New Roman"/>
          <w:sz w:val="28"/>
          <w:szCs w:val="28"/>
        </w:rPr>
        <w:t xml:space="preserve"> энергетической эффективности</w:t>
      </w:r>
      <w:r w:rsidR="00975DF9">
        <w:rPr>
          <w:rFonts w:ascii="Times New Roman" w:hAnsi="Times New Roman"/>
          <w:sz w:val="28"/>
          <w:szCs w:val="28"/>
        </w:rPr>
        <w:t xml:space="preserve">. </w:t>
      </w:r>
    </w:p>
    <w:p w:rsidR="00264CDE" w:rsidRDefault="00975DF9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</w:t>
      </w:r>
      <w:r w:rsidR="00264CDE">
        <w:rPr>
          <w:rFonts w:ascii="Times New Roman" w:hAnsi="Times New Roman"/>
          <w:sz w:val="28"/>
          <w:szCs w:val="28"/>
        </w:rPr>
        <w:t>т</w:t>
      </w:r>
      <w:r w:rsidR="00264CDE" w:rsidRPr="005D32E7">
        <w:rPr>
          <w:rFonts w:ascii="Times New Roman" w:hAnsi="Times New Roman"/>
          <w:sz w:val="28"/>
          <w:szCs w:val="28"/>
        </w:rPr>
        <w:t>еоретически</w:t>
      </w:r>
      <w:r>
        <w:rPr>
          <w:rFonts w:ascii="Times New Roman" w:hAnsi="Times New Roman"/>
          <w:sz w:val="28"/>
          <w:szCs w:val="28"/>
        </w:rPr>
        <w:t xml:space="preserve">е положения и </w:t>
      </w:r>
      <w:r w:rsidR="00074D48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>е</w:t>
      </w:r>
      <w:r w:rsidR="00074D48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жащиеся в</w:t>
      </w:r>
      <w:r w:rsidR="00074D48" w:rsidRPr="005D32E7">
        <w:rPr>
          <w:rFonts w:ascii="Times New Roman" w:hAnsi="Times New Roman"/>
          <w:sz w:val="28"/>
          <w:szCs w:val="28"/>
        </w:rPr>
        <w:t xml:space="preserve"> </w:t>
      </w:r>
      <w:r w:rsidR="00264CDE">
        <w:rPr>
          <w:rFonts w:ascii="Times New Roman" w:hAnsi="Times New Roman"/>
          <w:sz w:val="28"/>
          <w:szCs w:val="28"/>
        </w:rPr>
        <w:t>диссертационно</w:t>
      </w:r>
      <w:r w:rsidR="003B256A">
        <w:rPr>
          <w:rFonts w:ascii="Times New Roman" w:hAnsi="Times New Roman"/>
          <w:sz w:val="28"/>
          <w:szCs w:val="28"/>
        </w:rPr>
        <w:t>й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3B256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е,</w:t>
      </w:r>
      <w:r w:rsidR="00264CDE" w:rsidRPr="005D32E7">
        <w:rPr>
          <w:rFonts w:ascii="Times New Roman" w:hAnsi="Times New Roman"/>
          <w:sz w:val="28"/>
          <w:szCs w:val="28"/>
        </w:rPr>
        <w:t xml:space="preserve"> </w:t>
      </w:r>
      <w:r w:rsidR="003B256A">
        <w:rPr>
          <w:rFonts w:ascii="Times New Roman" w:hAnsi="Times New Roman"/>
          <w:sz w:val="28"/>
          <w:szCs w:val="28"/>
        </w:rPr>
        <w:t xml:space="preserve">могут </w:t>
      </w:r>
      <w:r w:rsidR="002D2A61">
        <w:rPr>
          <w:rFonts w:ascii="Times New Roman" w:hAnsi="Times New Roman"/>
          <w:sz w:val="28"/>
          <w:szCs w:val="28"/>
        </w:rPr>
        <w:t>быть использованы</w:t>
      </w:r>
      <w:r w:rsidR="00074D48">
        <w:rPr>
          <w:rFonts w:ascii="Times New Roman" w:hAnsi="Times New Roman"/>
          <w:sz w:val="28"/>
          <w:szCs w:val="28"/>
        </w:rPr>
        <w:t xml:space="preserve"> в </w:t>
      </w:r>
      <w:r w:rsidR="005604D5">
        <w:rPr>
          <w:rFonts w:ascii="Times New Roman" w:hAnsi="Times New Roman"/>
          <w:sz w:val="28"/>
          <w:szCs w:val="28"/>
        </w:rPr>
        <w:t>преподав</w:t>
      </w:r>
      <w:r w:rsidR="005604D5">
        <w:rPr>
          <w:rFonts w:ascii="Times New Roman" w:hAnsi="Times New Roman"/>
          <w:sz w:val="28"/>
          <w:szCs w:val="28"/>
        </w:rPr>
        <w:t>а</w:t>
      </w:r>
      <w:r w:rsidR="005604D5">
        <w:rPr>
          <w:rFonts w:ascii="Times New Roman" w:hAnsi="Times New Roman"/>
          <w:sz w:val="28"/>
          <w:szCs w:val="28"/>
        </w:rPr>
        <w:t>тельской деятельности</w:t>
      </w:r>
      <w:r w:rsidR="00264CDE" w:rsidRPr="005D32E7">
        <w:rPr>
          <w:rFonts w:ascii="Times New Roman" w:hAnsi="Times New Roman"/>
          <w:sz w:val="28"/>
          <w:szCs w:val="28"/>
        </w:rPr>
        <w:t xml:space="preserve"> </w:t>
      </w:r>
      <w:r w:rsidR="00852A0D" w:rsidRPr="005D32E7">
        <w:rPr>
          <w:rFonts w:ascii="Times New Roman" w:hAnsi="Times New Roman"/>
          <w:sz w:val="28"/>
          <w:szCs w:val="28"/>
        </w:rPr>
        <w:t xml:space="preserve">в высших </w:t>
      </w:r>
      <w:r w:rsidR="00852A0D">
        <w:rPr>
          <w:rFonts w:ascii="Times New Roman" w:hAnsi="Times New Roman"/>
          <w:sz w:val="28"/>
          <w:szCs w:val="28"/>
        </w:rPr>
        <w:t xml:space="preserve">профессиональных </w:t>
      </w:r>
      <w:r w:rsidR="00852A0D" w:rsidRPr="005D32E7">
        <w:rPr>
          <w:rFonts w:ascii="Times New Roman" w:hAnsi="Times New Roman"/>
          <w:sz w:val="28"/>
          <w:szCs w:val="28"/>
        </w:rPr>
        <w:t>учебных заведениях</w:t>
      </w:r>
      <w:r w:rsidR="00852A0D">
        <w:rPr>
          <w:rFonts w:ascii="Times New Roman" w:hAnsi="Times New Roman"/>
          <w:sz w:val="28"/>
          <w:szCs w:val="28"/>
        </w:rPr>
        <w:t xml:space="preserve"> в </w:t>
      </w:r>
      <w:r w:rsidR="005604D5">
        <w:rPr>
          <w:rFonts w:ascii="Times New Roman" w:hAnsi="Times New Roman"/>
          <w:sz w:val="28"/>
          <w:szCs w:val="28"/>
        </w:rPr>
        <w:t>процессе</w:t>
      </w:r>
      <w:r w:rsidR="00852A0D">
        <w:rPr>
          <w:rFonts w:ascii="Times New Roman" w:hAnsi="Times New Roman"/>
          <w:sz w:val="28"/>
          <w:szCs w:val="28"/>
        </w:rPr>
        <w:t xml:space="preserve"> </w:t>
      </w:r>
      <w:r w:rsidR="003B256A">
        <w:rPr>
          <w:rFonts w:ascii="Times New Roman" w:hAnsi="Times New Roman"/>
          <w:sz w:val="28"/>
          <w:szCs w:val="28"/>
        </w:rPr>
        <w:t>преподавани</w:t>
      </w:r>
      <w:r w:rsidR="00852A0D">
        <w:rPr>
          <w:rFonts w:ascii="Times New Roman" w:hAnsi="Times New Roman"/>
          <w:sz w:val="28"/>
          <w:szCs w:val="28"/>
        </w:rPr>
        <w:t>я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264CDE" w:rsidRPr="005D32E7">
        <w:rPr>
          <w:rFonts w:ascii="Times New Roman" w:hAnsi="Times New Roman"/>
          <w:sz w:val="28"/>
          <w:szCs w:val="28"/>
        </w:rPr>
        <w:t xml:space="preserve">курсов </w:t>
      </w:r>
      <w:r w:rsidR="00264CDE">
        <w:rPr>
          <w:rFonts w:ascii="Times New Roman" w:hAnsi="Times New Roman"/>
          <w:sz w:val="28"/>
          <w:szCs w:val="28"/>
        </w:rPr>
        <w:t xml:space="preserve">по </w:t>
      </w:r>
      <w:r w:rsidR="00264CDE" w:rsidRPr="005D32E7">
        <w:rPr>
          <w:rFonts w:ascii="Times New Roman" w:hAnsi="Times New Roman"/>
          <w:sz w:val="28"/>
          <w:szCs w:val="28"/>
        </w:rPr>
        <w:t>экономик</w:t>
      </w:r>
      <w:r w:rsidR="00264CDE">
        <w:rPr>
          <w:rFonts w:ascii="Times New Roman" w:hAnsi="Times New Roman"/>
          <w:sz w:val="28"/>
          <w:szCs w:val="28"/>
        </w:rPr>
        <w:t>е</w:t>
      </w:r>
      <w:r w:rsidR="00264CDE" w:rsidRPr="005D32E7">
        <w:rPr>
          <w:rFonts w:ascii="Times New Roman" w:hAnsi="Times New Roman"/>
          <w:sz w:val="28"/>
          <w:szCs w:val="28"/>
        </w:rPr>
        <w:t xml:space="preserve"> </w:t>
      </w:r>
      <w:r w:rsidR="00FF715C">
        <w:rPr>
          <w:rFonts w:ascii="Times New Roman" w:hAnsi="Times New Roman"/>
          <w:sz w:val="28"/>
          <w:szCs w:val="28"/>
        </w:rPr>
        <w:t>промышленн</w:t>
      </w:r>
      <w:r w:rsidR="00FF715C">
        <w:rPr>
          <w:rFonts w:ascii="Times New Roman" w:hAnsi="Times New Roman"/>
          <w:sz w:val="28"/>
          <w:szCs w:val="28"/>
        </w:rPr>
        <w:t>о</w:t>
      </w:r>
      <w:r w:rsidR="00FF715C">
        <w:rPr>
          <w:rFonts w:ascii="Times New Roman" w:hAnsi="Times New Roman"/>
          <w:sz w:val="28"/>
          <w:szCs w:val="28"/>
        </w:rPr>
        <w:t>сти</w:t>
      </w:r>
      <w:r w:rsidR="00264CDE" w:rsidRPr="005D32E7">
        <w:rPr>
          <w:rFonts w:ascii="Times New Roman" w:hAnsi="Times New Roman"/>
          <w:sz w:val="28"/>
          <w:szCs w:val="28"/>
        </w:rPr>
        <w:t>.</w:t>
      </w:r>
      <w:r w:rsidR="003B256A">
        <w:rPr>
          <w:rFonts w:ascii="Times New Roman" w:hAnsi="Times New Roman"/>
          <w:sz w:val="28"/>
          <w:szCs w:val="28"/>
        </w:rPr>
        <w:t xml:space="preserve"> </w:t>
      </w:r>
    </w:p>
    <w:p w:rsidR="00537D18" w:rsidRDefault="00264CDE" w:rsidP="0053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43">
        <w:rPr>
          <w:rFonts w:ascii="Times New Roman" w:hAnsi="Times New Roman"/>
          <w:b/>
          <w:sz w:val="28"/>
          <w:szCs w:val="28"/>
        </w:rPr>
        <w:t>Апробация и внедрение результатов исследования</w:t>
      </w:r>
      <w:r w:rsidRPr="00E86243">
        <w:rPr>
          <w:rFonts w:ascii="Times New Roman" w:hAnsi="Times New Roman"/>
          <w:sz w:val="28"/>
          <w:szCs w:val="28"/>
        </w:rPr>
        <w:t xml:space="preserve">. </w:t>
      </w:r>
      <w:r w:rsidR="00431DEE">
        <w:rPr>
          <w:rFonts w:ascii="Times New Roman" w:hAnsi="Times New Roman"/>
          <w:sz w:val="28"/>
          <w:szCs w:val="28"/>
        </w:rPr>
        <w:t xml:space="preserve">Научная новизна и </w:t>
      </w:r>
      <w:r w:rsidRPr="00E86243">
        <w:rPr>
          <w:rFonts w:ascii="Times New Roman" w:hAnsi="Times New Roman"/>
          <w:sz w:val="28"/>
          <w:szCs w:val="28"/>
        </w:rPr>
        <w:t>практиче</w:t>
      </w:r>
      <w:r w:rsidR="00431DEE">
        <w:rPr>
          <w:rFonts w:ascii="Times New Roman" w:hAnsi="Times New Roman"/>
          <w:sz w:val="28"/>
          <w:szCs w:val="28"/>
        </w:rPr>
        <w:t>ские предложения диссертационной работы</w:t>
      </w:r>
      <w:r w:rsidRPr="00E86243">
        <w:rPr>
          <w:rFonts w:ascii="Times New Roman" w:hAnsi="Times New Roman"/>
          <w:sz w:val="28"/>
          <w:szCs w:val="28"/>
        </w:rPr>
        <w:t xml:space="preserve"> </w:t>
      </w:r>
      <w:r w:rsidR="00431DEE">
        <w:rPr>
          <w:rFonts w:ascii="Times New Roman" w:hAnsi="Times New Roman"/>
          <w:sz w:val="28"/>
          <w:szCs w:val="28"/>
        </w:rPr>
        <w:t xml:space="preserve">были представлены автором к обсуждению </w:t>
      </w:r>
      <w:r w:rsidRPr="00E86243">
        <w:rPr>
          <w:rFonts w:ascii="Times New Roman" w:hAnsi="Times New Roman"/>
          <w:sz w:val="28"/>
          <w:szCs w:val="28"/>
        </w:rPr>
        <w:t xml:space="preserve">на </w:t>
      </w:r>
      <w:r w:rsidR="00431DEE">
        <w:rPr>
          <w:rFonts w:ascii="Times New Roman" w:hAnsi="Times New Roman"/>
          <w:sz w:val="28"/>
          <w:szCs w:val="28"/>
        </w:rPr>
        <w:t xml:space="preserve">ежегодных </w:t>
      </w:r>
      <w:r w:rsidRPr="00E86243">
        <w:rPr>
          <w:rFonts w:ascii="Times New Roman" w:hAnsi="Times New Roman"/>
          <w:sz w:val="28"/>
          <w:szCs w:val="28"/>
        </w:rPr>
        <w:t>методолог</w:t>
      </w:r>
      <w:r w:rsidRPr="00E86243">
        <w:rPr>
          <w:rFonts w:ascii="Times New Roman" w:hAnsi="Times New Roman"/>
          <w:sz w:val="28"/>
          <w:szCs w:val="28"/>
        </w:rPr>
        <w:t>и</w:t>
      </w:r>
      <w:r w:rsidRPr="00E86243">
        <w:rPr>
          <w:rFonts w:ascii="Times New Roman" w:hAnsi="Times New Roman"/>
          <w:sz w:val="28"/>
          <w:szCs w:val="28"/>
        </w:rPr>
        <w:t xml:space="preserve">ческих семинарах в </w:t>
      </w:r>
      <w:r w:rsidR="00666F94" w:rsidRPr="00666F94">
        <w:rPr>
          <w:rFonts w:ascii="Times New Roman" w:hAnsi="Times New Roman"/>
          <w:sz w:val="28"/>
          <w:szCs w:val="28"/>
        </w:rPr>
        <w:t>Северо-Кавказско</w:t>
      </w:r>
      <w:r w:rsidR="00666F94">
        <w:rPr>
          <w:rFonts w:ascii="Times New Roman" w:hAnsi="Times New Roman"/>
          <w:sz w:val="28"/>
          <w:szCs w:val="28"/>
        </w:rPr>
        <w:t>м</w:t>
      </w:r>
      <w:r w:rsidR="00666F94" w:rsidRPr="00666F94">
        <w:rPr>
          <w:rFonts w:ascii="Times New Roman" w:hAnsi="Times New Roman"/>
          <w:sz w:val="28"/>
          <w:szCs w:val="28"/>
        </w:rPr>
        <w:t xml:space="preserve"> институт</w:t>
      </w:r>
      <w:r w:rsidR="00666F94">
        <w:rPr>
          <w:rFonts w:ascii="Times New Roman" w:hAnsi="Times New Roman"/>
          <w:sz w:val="28"/>
          <w:szCs w:val="28"/>
        </w:rPr>
        <w:t xml:space="preserve">е </w:t>
      </w:r>
      <w:r w:rsidR="00666F94" w:rsidRPr="00666F94">
        <w:rPr>
          <w:rFonts w:ascii="Times New Roman" w:hAnsi="Times New Roman"/>
          <w:sz w:val="28"/>
          <w:szCs w:val="28"/>
        </w:rPr>
        <w:t>-</w:t>
      </w:r>
      <w:r w:rsidR="00666F94">
        <w:rPr>
          <w:rFonts w:ascii="Times New Roman" w:hAnsi="Times New Roman"/>
          <w:sz w:val="28"/>
          <w:szCs w:val="28"/>
        </w:rPr>
        <w:t xml:space="preserve"> </w:t>
      </w:r>
      <w:r w:rsidR="00666F94" w:rsidRPr="00666F94">
        <w:rPr>
          <w:rFonts w:ascii="Times New Roman" w:hAnsi="Times New Roman"/>
          <w:sz w:val="28"/>
          <w:szCs w:val="28"/>
        </w:rPr>
        <w:t>филиал</w:t>
      </w:r>
      <w:r w:rsidR="00666F94">
        <w:rPr>
          <w:rFonts w:ascii="Times New Roman" w:hAnsi="Times New Roman"/>
          <w:sz w:val="28"/>
          <w:szCs w:val="28"/>
        </w:rPr>
        <w:t>е</w:t>
      </w:r>
      <w:r w:rsidR="00666F94" w:rsidRPr="00666F94">
        <w:rPr>
          <w:rFonts w:ascii="Times New Roman" w:hAnsi="Times New Roman"/>
          <w:sz w:val="28"/>
          <w:szCs w:val="28"/>
        </w:rPr>
        <w:t xml:space="preserve"> Российской академии народного хозяйства и государственной службы</w:t>
      </w:r>
      <w:r w:rsidR="005604D5">
        <w:rPr>
          <w:rFonts w:ascii="Times New Roman" w:hAnsi="Times New Roman"/>
          <w:sz w:val="28"/>
          <w:szCs w:val="28"/>
        </w:rPr>
        <w:t xml:space="preserve"> </w:t>
      </w:r>
      <w:r w:rsidR="005604D5" w:rsidRPr="000D3736">
        <w:rPr>
          <w:rFonts w:ascii="Times New Roman" w:hAnsi="Times New Roman"/>
          <w:sz w:val="28"/>
          <w:szCs w:val="28"/>
        </w:rPr>
        <w:t>при Президенте Российской Федерации</w:t>
      </w:r>
      <w:r w:rsidR="00852A0D">
        <w:rPr>
          <w:rFonts w:ascii="Times New Roman" w:hAnsi="Times New Roman"/>
          <w:sz w:val="28"/>
          <w:szCs w:val="28"/>
        </w:rPr>
        <w:t xml:space="preserve">, </w:t>
      </w:r>
      <w:r w:rsidR="00C6531D">
        <w:rPr>
          <w:rFonts w:ascii="Times New Roman" w:hAnsi="Times New Roman"/>
          <w:sz w:val="28"/>
          <w:szCs w:val="28"/>
        </w:rPr>
        <w:t xml:space="preserve">на </w:t>
      </w:r>
      <w:r w:rsidR="00B554EA">
        <w:rPr>
          <w:rFonts w:ascii="Times New Roman" w:hAnsi="Times New Roman"/>
          <w:sz w:val="28"/>
          <w:szCs w:val="28"/>
        </w:rPr>
        <w:t xml:space="preserve">международных </w:t>
      </w:r>
      <w:r w:rsidR="00883408">
        <w:rPr>
          <w:rFonts w:ascii="Times New Roman" w:hAnsi="Times New Roman"/>
          <w:sz w:val="28"/>
          <w:szCs w:val="28"/>
        </w:rPr>
        <w:t xml:space="preserve">и российских </w:t>
      </w:r>
      <w:r w:rsidR="00C6531D" w:rsidRPr="00536BF7">
        <w:rPr>
          <w:rFonts w:ascii="Times New Roman" w:hAnsi="Times New Roman"/>
          <w:sz w:val="28"/>
          <w:szCs w:val="28"/>
        </w:rPr>
        <w:t>научн</w:t>
      </w:r>
      <w:r w:rsidR="00B554EA">
        <w:rPr>
          <w:rFonts w:ascii="Times New Roman" w:hAnsi="Times New Roman"/>
          <w:sz w:val="28"/>
          <w:szCs w:val="28"/>
        </w:rPr>
        <w:t>ых</w:t>
      </w:r>
      <w:r w:rsidR="00C6531D" w:rsidRPr="00536BF7">
        <w:rPr>
          <w:rFonts w:ascii="Times New Roman" w:hAnsi="Times New Roman"/>
          <w:sz w:val="28"/>
          <w:szCs w:val="28"/>
        </w:rPr>
        <w:t xml:space="preserve"> </w:t>
      </w:r>
      <w:r w:rsidR="00DB2003">
        <w:rPr>
          <w:rFonts w:ascii="Times New Roman" w:hAnsi="Times New Roman"/>
          <w:sz w:val="28"/>
          <w:szCs w:val="28"/>
        </w:rPr>
        <w:t xml:space="preserve">и научно-практических </w:t>
      </w:r>
      <w:r w:rsidR="00C6531D" w:rsidRPr="00536BF7">
        <w:rPr>
          <w:rFonts w:ascii="Times New Roman" w:hAnsi="Times New Roman"/>
          <w:sz w:val="28"/>
          <w:szCs w:val="28"/>
        </w:rPr>
        <w:t>конференц</w:t>
      </w:r>
      <w:r w:rsidR="00C6531D" w:rsidRPr="00536BF7">
        <w:rPr>
          <w:rFonts w:ascii="Times New Roman" w:hAnsi="Times New Roman"/>
          <w:sz w:val="28"/>
          <w:szCs w:val="28"/>
        </w:rPr>
        <w:t>и</w:t>
      </w:r>
      <w:r w:rsidR="00B554EA">
        <w:rPr>
          <w:rFonts w:ascii="Times New Roman" w:hAnsi="Times New Roman"/>
          <w:sz w:val="28"/>
          <w:szCs w:val="28"/>
        </w:rPr>
        <w:t>ях</w:t>
      </w:r>
      <w:r w:rsidR="00DB2003">
        <w:rPr>
          <w:rFonts w:ascii="Times New Roman" w:hAnsi="Times New Roman"/>
          <w:sz w:val="28"/>
          <w:szCs w:val="28"/>
        </w:rPr>
        <w:t xml:space="preserve"> (Москва, </w:t>
      </w:r>
      <w:r w:rsidR="00413ACD">
        <w:rPr>
          <w:rFonts w:ascii="Times New Roman" w:hAnsi="Times New Roman"/>
          <w:sz w:val="28"/>
          <w:szCs w:val="28"/>
        </w:rPr>
        <w:t xml:space="preserve">Екатеринбург, </w:t>
      </w:r>
      <w:r w:rsidR="00666F94">
        <w:rPr>
          <w:rFonts w:ascii="Times New Roman" w:hAnsi="Times New Roman"/>
          <w:sz w:val="28"/>
          <w:szCs w:val="28"/>
        </w:rPr>
        <w:t>Саратов</w:t>
      </w:r>
      <w:r w:rsidR="00AE4B35">
        <w:rPr>
          <w:rFonts w:ascii="Times New Roman" w:hAnsi="Times New Roman"/>
          <w:sz w:val="28"/>
          <w:szCs w:val="28"/>
        </w:rPr>
        <w:t>,</w:t>
      </w:r>
      <w:r w:rsidR="00DB2003">
        <w:rPr>
          <w:rFonts w:ascii="Times New Roman" w:hAnsi="Times New Roman"/>
          <w:sz w:val="28"/>
          <w:szCs w:val="28"/>
        </w:rPr>
        <w:t xml:space="preserve"> Новосибирск</w:t>
      </w:r>
      <w:r w:rsidR="00413ACD">
        <w:rPr>
          <w:rFonts w:ascii="Times New Roman" w:hAnsi="Times New Roman"/>
          <w:sz w:val="28"/>
          <w:szCs w:val="28"/>
        </w:rPr>
        <w:t xml:space="preserve"> и др.</w:t>
      </w:r>
      <w:r w:rsidR="00DB2003">
        <w:rPr>
          <w:rFonts w:ascii="Times New Roman" w:hAnsi="Times New Roman"/>
          <w:sz w:val="28"/>
          <w:szCs w:val="28"/>
        </w:rPr>
        <w:t xml:space="preserve">) </w:t>
      </w:r>
      <w:r w:rsidR="00B554EA">
        <w:rPr>
          <w:rFonts w:ascii="Times New Roman" w:hAnsi="Times New Roman"/>
          <w:sz w:val="28"/>
          <w:szCs w:val="28"/>
        </w:rPr>
        <w:t>в 201</w:t>
      </w:r>
      <w:r w:rsidR="00413ACD">
        <w:rPr>
          <w:rFonts w:ascii="Times New Roman" w:hAnsi="Times New Roman"/>
          <w:sz w:val="28"/>
          <w:szCs w:val="28"/>
        </w:rPr>
        <w:t>4</w:t>
      </w:r>
      <w:r w:rsidR="00B554EA">
        <w:rPr>
          <w:rFonts w:ascii="Times New Roman" w:hAnsi="Times New Roman"/>
          <w:sz w:val="28"/>
          <w:szCs w:val="28"/>
        </w:rPr>
        <w:t>-201</w:t>
      </w:r>
      <w:r w:rsidR="00DB2003">
        <w:rPr>
          <w:rFonts w:ascii="Times New Roman" w:hAnsi="Times New Roman"/>
          <w:sz w:val="28"/>
          <w:szCs w:val="28"/>
        </w:rPr>
        <w:t>5</w:t>
      </w:r>
      <w:r w:rsidR="00B554EA">
        <w:rPr>
          <w:rFonts w:ascii="Times New Roman" w:hAnsi="Times New Roman"/>
          <w:sz w:val="28"/>
          <w:szCs w:val="28"/>
        </w:rPr>
        <w:t xml:space="preserve"> годах. </w:t>
      </w:r>
    </w:p>
    <w:p w:rsidR="00413ACD" w:rsidRPr="00413ACD" w:rsidRDefault="00D409BD" w:rsidP="00413A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</w:t>
      </w:r>
      <w:r w:rsidR="00264CDE" w:rsidRPr="00E86243">
        <w:rPr>
          <w:rFonts w:ascii="Times New Roman" w:hAnsi="Times New Roman"/>
          <w:sz w:val="28"/>
          <w:szCs w:val="28"/>
        </w:rPr>
        <w:t xml:space="preserve"> предложения</w:t>
      </w:r>
      <w:r w:rsidR="00413ACD">
        <w:rPr>
          <w:rFonts w:ascii="Times New Roman" w:hAnsi="Times New Roman"/>
          <w:sz w:val="28"/>
          <w:szCs w:val="28"/>
        </w:rPr>
        <w:t xml:space="preserve">, сформированные по результатам </w:t>
      </w:r>
      <w:r w:rsidR="00264CDE" w:rsidRPr="00E86243">
        <w:rPr>
          <w:rFonts w:ascii="Times New Roman" w:hAnsi="Times New Roman"/>
          <w:sz w:val="28"/>
          <w:szCs w:val="28"/>
        </w:rPr>
        <w:t>диссерт</w:t>
      </w:r>
      <w:r w:rsidR="00264CDE" w:rsidRPr="00E86243">
        <w:rPr>
          <w:rFonts w:ascii="Times New Roman" w:hAnsi="Times New Roman"/>
          <w:sz w:val="28"/>
          <w:szCs w:val="28"/>
        </w:rPr>
        <w:t>а</w:t>
      </w:r>
      <w:r w:rsidR="00264CDE" w:rsidRPr="00E86243">
        <w:rPr>
          <w:rFonts w:ascii="Times New Roman" w:hAnsi="Times New Roman"/>
          <w:sz w:val="28"/>
          <w:szCs w:val="28"/>
        </w:rPr>
        <w:t>ционного исследования</w:t>
      </w:r>
      <w:r w:rsidR="00413ACD">
        <w:rPr>
          <w:rFonts w:ascii="Times New Roman" w:hAnsi="Times New Roman"/>
          <w:sz w:val="28"/>
          <w:szCs w:val="28"/>
        </w:rPr>
        <w:t>,</w:t>
      </w:r>
      <w:r w:rsidR="00264CDE" w:rsidRPr="00E86243">
        <w:rPr>
          <w:rFonts w:ascii="Times New Roman" w:hAnsi="Times New Roman"/>
          <w:sz w:val="28"/>
          <w:szCs w:val="28"/>
        </w:rPr>
        <w:t xml:space="preserve"> пре</w:t>
      </w:r>
      <w:r w:rsidR="00264CDE" w:rsidRPr="00E86243">
        <w:rPr>
          <w:rFonts w:ascii="Times New Roman" w:hAnsi="Times New Roman"/>
          <w:sz w:val="28"/>
          <w:szCs w:val="28"/>
        </w:rPr>
        <w:t>д</w:t>
      </w:r>
      <w:r w:rsidR="00264CDE" w:rsidRPr="00E86243">
        <w:rPr>
          <w:rFonts w:ascii="Times New Roman" w:hAnsi="Times New Roman"/>
          <w:sz w:val="28"/>
          <w:szCs w:val="28"/>
        </w:rPr>
        <w:t xml:space="preserve">ставлены </w:t>
      </w:r>
      <w:r w:rsidR="00BC6A9E">
        <w:rPr>
          <w:rFonts w:ascii="Times New Roman" w:hAnsi="Times New Roman"/>
          <w:sz w:val="28"/>
          <w:szCs w:val="28"/>
        </w:rPr>
        <w:t xml:space="preserve">автором </w:t>
      </w:r>
      <w:r w:rsidR="00264CDE" w:rsidRPr="00E86243">
        <w:rPr>
          <w:rFonts w:ascii="Times New Roman" w:hAnsi="Times New Roman"/>
          <w:sz w:val="28"/>
          <w:szCs w:val="28"/>
        </w:rPr>
        <w:t xml:space="preserve">в </w:t>
      </w:r>
      <w:r w:rsidR="00413ACD" w:rsidRPr="00413ACD">
        <w:rPr>
          <w:rFonts w:ascii="Times New Roman" w:hAnsi="Times New Roman"/>
          <w:bCs/>
          <w:sz w:val="28"/>
          <w:szCs w:val="28"/>
        </w:rPr>
        <w:t>Министерство энергетики, промышленности и связи Ставропольского края</w:t>
      </w:r>
      <w:r w:rsidR="00413ACD">
        <w:rPr>
          <w:rFonts w:ascii="Times New Roman" w:hAnsi="Times New Roman"/>
          <w:bCs/>
          <w:sz w:val="28"/>
          <w:szCs w:val="28"/>
        </w:rPr>
        <w:t xml:space="preserve"> и в </w:t>
      </w:r>
      <w:r w:rsidR="00413ACD" w:rsidRPr="00413ACD">
        <w:rPr>
          <w:rFonts w:ascii="Times New Roman" w:hAnsi="Times New Roman"/>
          <w:bCs/>
          <w:sz w:val="28"/>
          <w:szCs w:val="28"/>
        </w:rPr>
        <w:t>Министерство экономического развития Ставропол</w:t>
      </w:r>
      <w:r w:rsidR="00413ACD" w:rsidRPr="00413ACD">
        <w:rPr>
          <w:rFonts w:ascii="Times New Roman" w:hAnsi="Times New Roman"/>
          <w:bCs/>
          <w:sz w:val="28"/>
          <w:szCs w:val="28"/>
        </w:rPr>
        <w:t>ь</w:t>
      </w:r>
      <w:r w:rsidR="00413ACD" w:rsidRPr="00413ACD">
        <w:rPr>
          <w:rFonts w:ascii="Times New Roman" w:hAnsi="Times New Roman"/>
          <w:bCs/>
          <w:sz w:val="28"/>
          <w:szCs w:val="28"/>
        </w:rPr>
        <w:t>ского края</w:t>
      </w:r>
      <w:r w:rsidR="00413ACD">
        <w:rPr>
          <w:rFonts w:ascii="Times New Roman" w:hAnsi="Times New Roman"/>
          <w:bCs/>
          <w:sz w:val="28"/>
          <w:szCs w:val="28"/>
        </w:rPr>
        <w:t xml:space="preserve">. </w:t>
      </w:r>
    </w:p>
    <w:p w:rsidR="00264CDE" w:rsidRPr="00E86243" w:rsidRDefault="00D409BD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 </w:t>
      </w:r>
      <w:r w:rsidR="00DB2003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="00431DE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="00431DEE">
        <w:rPr>
          <w:rFonts w:ascii="Times New Roman" w:hAnsi="Times New Roman"/>
          <w:sz w:val="28"/>
          <w:szCs w:val="28"/>
        </w:rPr>
        <w:t xml:space="preserve"> научного исследования использую</w:t>
      </w:r>
      <w:r w:rsidR="00264CDE" w:rsidRPr="00E86243">
        <w:rPr>
          <w:rFonts w:ascii="Times New Roman" w:hAnsi="Times New Roman"/>
          <w:sz w:val="28"/>
          <w:szCs w:val="28"/>
        </w:rPr>
        <w:t xml:space="preserve">тся в учебном процессе в </w:t>
      </w:r>
      <w:r w:rsidR="00666F94" w:rsidRPr="00666F94">
        <w:rPr>
          <w:rFonts w:ascii="Times New Roman" w:hAnsi="Times New Roman"/>
          <w:sz w:val="28"/>
          <w:szCs w:val="28"/>
        </w:rPr>
        <w:t>Северо-Кавказско</w:t>
      </w:r>
      <w:r w:rsidR="00666F94">
        <w:rPr>
          <w:rFonts w:ascii="Times New Roman" w:hAnsi="Times New Roman"/>
          <w:sz w:val="28"/>
          <w:szCs w:val="28"/>
        </w:rPr>
        <w:t>м</w:t>
      </w:r>
      <w:r w:rsidR="00666F94" w:rsidRPr="00666F94">
        <w:rPr>
          <w:rFonts w:ascii="Times New Roman" w:hAnsi="Times New Roman"/>
          <w:sz w:val="28"/>
          <w:szCs w:val="28"/>
        </w:rPr>
        <w:t xml:space="preserve"> институт</w:t>
      </w:r>
      <w:r w:rsidR="00666F94">
        <w:rPr>
          <w:rFonts w:ascii="Times New Roman" w:hAnsi="Times New Roman"/>
          <w:sz w:val="28"/>
          <w:szCs w:val="28"/>
        </w:rPr>
        <w:t xml:space="preserve">е </w:t>
      </w:r>
      <w:r w:rsidR="00666F94" w:rsidRPr="00666F94">
        <w:rPr>
          <w:rFonts w:ascii="Times New Roman" w:hAnsi="Times New Roman"/>
          <w:sz w:val="28"/>
          <w:szCs w:val="28"/>
        </w:rPr>
        <w:t>-</w:t>
      </w:r>
      <w:r w:rsidR="00666F94">
        <w:rPr>
          <w:rFonts w:ascii="Times New Roman" w:hAnsi="Times New Roman"/>
          <w:sz w:val="28"/>
          <w:szCs w:val="28"/>
        </w:rPr>
        <w:t xml:space="preserve"> </w:t>
      </w:r>
      <w:r w:rsidR="00666F94" w:rsidRPr="00666F94">
        <w:rPr>
          <w:rFonts w:ascii="Times New Roman" w:hAnsi="Times New Roman"/>
          <w:sz w:val="28"/>
          <w:szCs w:val="28"/>
        </w:rPr>
        <w:t>филиал</w:t>
      </w:r>
      <w:r w:rsidR="00666F94">
        <w:rPr>
          <w:rFonts w:ascii="Times New Roman" w:hAnsi="Times New Roman"/>
          <w:sz w:val="28"/>
          <w:szCs w:val="28"/>
        </w:rPr>
        <w:t>е</w:t>
      </w:r>
      <w:r w:rsidR="00666F94" w:rsidRPr="00666F94">
        <w:rPr>
          <w:rFonts w:ascii="Times New Roman" w:hAnsi="Times New Roman"/>
          <w:sz w:val="28"/>
          <w:szCs w:val="28"/>
        </w:rPr>
        <w:t xml:space="preserve"> Российской академии народного хозяйства и государственной службы</w:t>
      </w:r>
      <w:r w:rsidR="00413ACD">
        <w:rPr>
          <w:rFonts w:ascii="Times New Roman" w:hAnsi="Times New Roman"/>
          <w:sz w:val="28"/>
          <w:szCs w:val="28"/>
        </w:rPr>
        <w:t xml:space="preserve"> </w:t>
      </w:r>
      <w:r w:rsidR="00413ACD" w:rsidRPr="000D3736">
        <w:rPr>
          <w:rFonts w:ascii="Times New Roman" w:hAnsi="Times New Roman"/>
          <w:sz w:val="28"/>
          <w:szCs w:val="28"/>
        </w:rPr>
        <w:t>при Президенте Российской Федерации</w:t>
      </w:r>
      <w:r w:rsidR="00852A0D">
        <w:rPr>
          <w:rFonts w:ascii="Times New Roman" w:hAnsi="Times New Roman"/>
          <w:sz w:val="28"/>
          <w:szCs w:val="28"/>
        </w:rPr>
        <w:t xml:space="preserve">. </w:t>
      </w:r>
      <w:r w:rsidR="00413ACD">
        <w:rPr>
          <w:rFonts w:ascii="Times New Roman" w:hAnsi="Times New Roman"/>
          <w:sz w:val="28"/>
          <w:szCs w:val="28"/>
        </w:rPr>
        <w:t xml:space="preserve">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Публикации</w:t>
      </w:r>
      <w:r w:rsidRPr="00CE53EE">
        <w:rPr>
          <w:rFonts w:ascii="Times New Roman" w:hAnsi="Times New Roman"/>
          <w:sz w:val="28"/>
          <w:szCs w:val="28"/>
        </w:rPr>
        <w:t>.</w:t>
      </w:r>
      <w:r w:rsidRPr="004C0BAD">
        <w:rPr>
          <w:rFonts w:ascii="Times New Roman" w:hAnsi="Times New Roman"/>
          <w:sz w:val="28"/>
          <w:szCs w:val="28"/>
        </w:rPr>
        <w:t xml:space="preserve"> </w:t>
      </w:r>
      <w:r w:rsidRPr="002C52E7">
        <w:rPr>
          <w:rFonts w:ascii="Times New Roman" w:hAnsi="Times New Roman"/>
          <w:sz w:val="28"/>
          <w:szCs w:val="28"/>
        </w:rPr>
        <w:t>По теме диссертации опубликован</w:t>
      </w:r>
      <w:r>
        <w:rPr>
          <w:rFonts w:ascii="Times New Roman" w:hAnsi="Times New Roman"/>
          <w:sz w:val="28"/>
          <w:szCs w:val="28"/>
        </w:rPr>
        <w:t>о</w:t>
      </w:r>
      <w:r w:rsidRPr="002C52E7">
        <w:rPr>
          <w:rFonts w:ascii="Times New Roman" w:hAnsi="Times New Roman"/>
          <w:sz w:val="28"/>
          <w:szCs w:val="28"/>
        </w:rPr>
        <w:t xml:space="preserve"> </w:t>
      </w:r>
      <w:r w:rsidR="00AE4B35">
        <w:rPr>
          <w:rFonts w:ascii="Times New Roman" w:hAnsi="Times New Roman"/>
          <w:sz w:val="28"/>
          <w:szCs w:val="28"/>
        </w:rPr>
        <w:t xml:space="preserve">15 </w:t>
      </w:r>
      <w:r w:rsidRPr="002C52E7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ых</w:t>
      </w:r>
      <w:r w:rsidRPr="002C52E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D41">
        <w:rPr>
          <w:rFonts w:ascii="Times New Roman" w:hAnsi="Times New Roman"/>
          <w:sz w:val="28"/>
          <w:szCs w:val="28"/>
        </w:rPr>
        <w:t xml:space="preserve">(в том числе </w:t>
      </w:r>
      <w:r w:rsidR="00666F94">
        <w:rPr>
          <w:rFonts w:ascii="Times New Roman" w:hAnsi="Times New Roman"/>
          <w:sz w:val="28"/>
          <w:szCs w:val="28"/>
        </w:rPr>
        <w:t>7</w:t>
      </w:r>
      <w:r w:rsidR="00515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66D41">
        <w:rPr>
          <w:rFonts w:ascii="Times New Roman" w:hAnsi="Times New Roman"/>
          <w:sz w:val="28"/>
          <w:szCs w:val="28"/>
        </w:rPr>
        <w:t xml:space="preserve"> в ведущих рецензируемых журналах</w:t>
      </w:r>
      <w:r w:rsidR="00BC6A9E">
        <w:rPr>
          <w:rFonts w:ascii="Times New Roman" w:hAnsi="Times New Roman"/>
          <w:sz w:val="28"/>
          <w:szCs w:val="28"/>
        </w:rPr>
        <w:t>, перечень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C6A9E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D41">
        <w:rPr>
          <w:rFonts w:ascii="Times New Roman" w:hAnsi="Times New Roman"/>
          <w:sz w:val="28"/>
          <w:szCs w:val="28"/>
        </w:rPr>
        <w:t>ВАК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266D41">
        <w:rPr>
          <w:rFonts w:ascii="Times New Roman" w:hAnsi="Times New Roman"/>
          <w:sz w:val="28"/>
          <w:szCs w:val="28"/>
        </w:rPr>
        <w:t>)</w:t>
      </w:r>
      <w:r w:rsidRPr="002C52E7">
        <w:rPr>
          <w:rFonts w:ascii="Times New Roman" w:hAnsi="Times New Roman"/>
          <w:sz w:val="28"/>
          <w:szCs w:val="28"/>
        </w:rPr>
        <w:t xml:space="preserve">, </w:t>
      </w:r>
      <w:r w:rsidR="00BC6A9E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2E7">
        <w:rPr>
          <w:rFonts w:ascii="Times New Roman" w:hAnsi="Times New Roman"/>
          <w:sz w:val="28"/>
          <w:szCs w:val="28"/>
        </w:rPr>
        <w:t xml:space="preserve">основные положения </w:t>
      </w:r>
      <w:r w:rsidR="000D6E11">
        <w:rPr>
          <w:rFonts w:ascii="Times New Roman" w:hAnsi="Times New Roman"/>
          <w:sz w:val="28"/>
          <w:szCs w:val="28"/>
        </w:rPr>
        <w:t xml:space="preserve">и выводы </w:t>
      </w:r>
      <w:r>
        <w:rPr>
          <w:rFonts w:ascii="Times New Roman" w:hAnsi="Times New Roman"/>
          <w:sz w:val="28"/>
          <w:szCs w:val="28"/>
        </w:rPr>
        <w:t xml:space="preserve">диссертационного </w:t>
      </w:r>
      <w:r w:rsidRPr="002C52E7">
        <w:rPr>
          <w:rFonts w:ascii="Times New Roman" w:hAnsi="Times New Roman"/>
          <w:sz w:val="28"/>
          <w:szCs w:val="28"/>
        </w:rPr>
        <w:t>исследов</w:t>
      </w:r>
      <w:r w:rsidRPr="002C52E7">
        <w:rPr>
          <w:rFonts w:ascii="Times New Roman" w:hAnsi="Times New Roman"/>
          <w:sz w:val="28"/>
          <w:szCs w:val="28"/>
        </w:rPr>
        <w:t>а</w:t>
      </w:r>
      <w:r w:rsidRPr="002C52E7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  <w:r w:rsidRPr="002C5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C52E7">
        <w:rPr>
          <w:rFonts w:ascii="Times New Roman" w:hAnsi="Times New Roman"/>
          <w:sz w:val="28"/>
          <w:szCs w:val="28"/>
        </w:rPr>
        <w:t>бщи</w:t>
      </w:r>
      <w:r>
        <w:rPr>
          <w:rFonts w:ascii="Times New Roman" w:hAnsi="Times New Roman"/>
          <w:sz w:val="28"/>
          <w:szCs w:val="28"/>
        </w:rPr>
        <w:t>й</w:t>
      </w:r>
      <w:r w:rsidRPr="002C52E7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D2F1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50BC3">
        <w:rPr>
          <w:rFonts w:ascii="Times New Roman" w:hAnsi="Times New Roman"/>
          <w:sz w:val="28"/>
          <w:szCs w:val="28"/>
        </w:rPr>
        <w:t>7,2</w:t>
      </w:r>
      <w:r w:rsidR="00B50AE7">
        <w:rPr>
          <w:rFonts w:ascii="Times New Roman" w:hAnsi="Times New Roman"/>
          <w:sz w:val="28"/>
          <w:szCs w:val="28"/>
        </w:rPr>
        <w:t xml:space="preserve"> </w:t>
      </w:r>
      <w:r w:rsidRPr="00EB3600">
        <w:rPr>
          <w:rFonts w:ascii="Times New Roman" w:hAnsi="Times New Roman"/>
          <w:sz w:val="28"/>
          <w:szCs w:val="28"/>
        </w:rPr>
        <w:t>п.л.</w:t>
      </w:r>
      <w:r>
        <w:rPr>
          <w:rFonts w:ascii="Times New Roman" w:hAnsi="Times New Roman"/>
          <w:sz w:val="28"/>
          <w:szCs w:val="28"/>
        </w:rPr>
        <w:t xml:space="preserve"> В том числе доля автора </w:t>
      </w:r>
      <w:r w:rsidR="003435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1488D">
        <w:rPr>
          <w:rFonts w:ascii="Times New Roman" w:hAnsi="Times New Roman"/>
          <w:sz w:val="28"/>
          <w:szCs w:val="28"/>
        </w:rPr>
        <w:t>6,55</w:t>
      </w:r>
      <w:r w:rsidR="00033C97">
        <w:rPr>
          <w:rFonts w:ascii="Times New Roman" w:hAnsi="Times New Roman"/>
          <w:sz w:val="28"/>
          <w:szCs w:val="28"/>
        </w:rPr>
        <w:t xml:space="preserve"> п.л.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Структура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62AB" w:rsidRPr="00AA62AB">
        <w:rPr>
          <w:rFonts w:ascii="Times New Roman" w:hAnsi="Times New Roman"/>
          <w:sz w:val="28"/>
          <w:szCs w:val="28"/>
        </w:rPr>
        <w:t xml:space="preserve">была </w:t>
      </w:r>
      <w:r w:rsidR="00AA62AB">
        <w:rPr>
          <w:rFonts w:ascii="Times New Roman" w:hAnsi="Times New Roman"/>
          <w:sz w:val="28"/>
          <w:szCs w:val="28"/>
        </w:rPr>
        <w:t xml:space="preserve">определена </w:t>
      </w:r>
      <w:r w:rsidR="002F3DA3">
        <w:rPr>
          <w:rFonts w:ascii="Times New Roman" w:hAnsi="Times New Roman"/>
          <w:sz w:val="28"/>
          <w:szCs w:val="28"/>
        </w:rPr>
        <w:t>в соответствии с</w:t>
      </w:r>
      <w:r w:rsidRPr="004C0BAD">
        <w:rPr>
          <w:rFonts w:ascii="Times New Roman" w:hAnsi="Times New Roman"/>
          <w:sz w:val="28"/>
          <w:szCs w:val="28"/>
        </w:rPr>
        <w:t xml:space="preserve"> </w:t>
      </w:r>
      <w:r w:rsidR="002F3DA3">
        <w:rPr>
          <w:rFonts w:ascii="Times New Roman" w:hAnsi="Times New Roman"/>
          <w:sz w:val="28"/>
          <w:szCs w:val="28"/>
        </w:rPr>
        <w:t>основной целью</w:t>
      </w:r>
      <w:r w:rsidR="00AA62AB">
        <w:rPr>
          <w:rFonts w:ascii="Times New Roman" w:hAnsi="Times New Roman"/>
          <w:sz w:val="28"/>
          <w:szCs w:val="28"/>
        </w:rPr>
        <w:t xml:space="preserve"> и</w:t>
      </w:r>
      <w:r w:rsidR="002F3DA3">
        <w:rPr>
          <w:rFonts w:ascii="Times New Roman" w:hAnsi="Times New Roman"/>
          <w:sz w:val="28"/>
          <w:szCs w:val="28"/>
        </w:rPr>
        <w:t xml:space="preserve"> </w:t>
      </w:r>
      <w:r w:rsidR="002F3DA3" w:rsidRPr="004C0BAD">
        <w:rPr>
          <w:rFonts w:ascii="Times New Roman" w:hAnsi="Times New Roman"/>
          <w:sz w:val="28"/>
          <w:szCs w:val="28"/>
        </w:rPr>
        <w:t>поста</w:t>
      </w:r>
      <w:r w:rsidR="002F3DA3" w:rsidRPr="004C0BAD">
        <w:rPr>
          <w:rFonts w:ascii="Times New Roman" w:hAnsi="Times New Roman"/>
          <w:sz w:val="28"/>
          <w:szCs w:val="28"/>
        </w:rPr>
        <w:t>в</w:t>
      </w:r>
      <w:r w:rsidR="002F3DA3" w:rsidRPr="004C0BAD">
        <w:rPr>
          <w:rFonts w:ascii="Times New Roman" w:hAnsi="Times New Roman"/>
          <w:sz w:val="28"/>
          <w:szCs w:val="28"/>
        </w:rPr>
        <w:t>ленн</w:t>
      </w:r>
      <w:r w:rsidR="002F3DA3">
        <w:rPr>
          <w:rFonts w:ascii="Times New Roman" w:hAnsi="Times New Roman"/>
          <w:sz w:val="28"/>
          <w:szCs w:val="28"/>
        </w:rPr>
        <w:t>ыми</w:t>
      </w:r>
      <w:r w:rsidR="002F3DA3" w:rsidRPr="004C0BAD">
        <w:rPr>
          <w:rFonts w:ascii="Times New Roman" w:hAnsi="Times New Roman"/>
          <w:sz w:val="28"/>
          <w:szCs w:val="28"/>
        </w:rPr>
        <w:t xml:space="preserve"> задач</w:t>
      </w:r>
      <w:r w:rsidR="002F3DA3">
        <w:rPr>
          <w:rFonts w:ascii="Times New Roman" w:hAnsi="Times New Roman"/>
          <w:sz w:val="28"/>
          <w:szCs w:val="28"/>
        </w:rPr>
        <w:t xml:space="preserve">ами </w:t>
      </w:r>
      <w:r w:rsidRPr="004C0BAD">
        <w:rPr>
          <w:rFonts w:ascii="Times New Roman" w:hAnsi="Times New Roman"/>
          <w:sz w:val="28"/>
          <w:szCs w:val="28"/>
        </w:rPr>
        <w:t>исследова</w:t>
      </w:r>
      <w:r w:rsidR="002F3DA3">
        <w:rPr>
          <w:rFonts w:ascii="Times New Roman" w:hAnsi="Times New Roman"/>
          <w:sz w:val="28"/>
          <w:szCs w:val="28"/>
        </w:rPr>
        <w:t>ния</w:t>
      </w:r>
      <w:r w:rsidRPr="004C0BAD">
        <w:rPr>
          <w:rFonts w:ascii="Times New Roman" w:hAnsi="Times New Roman"/>
          <w:sz w:val="28"/>
          <w:szCs w:val="28"/>
        </w:rPr>
        <w:t xml:space="preserve">. Диссертация состоит из введения, </w:t>
      </w:r>
      <w:r w:rsidR="00FF715C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BAD">
        <w:rPr>
          <w:rFonts w:ascii="Times New Roman" w:hAnsi="Times New Roman"/>
          <w:sz w:val="28"/>
          <w:szCs w:val="28"/>
        </w:rPr>
        <w:t>глав, заключ</w:t>
      </w:r>
      <w:r w:rsidRPr="004C0BAD">
        <w:rPr>
          <w:rFonts w:ascii="Times New Roman" w:hAnsi="Times New Roman"/>
          <w:sz w:val="28"/>
          <w:szCs w:val="28"/>
        </w:rPr>
        <w:t>е</w:t>
      </w:r>
      <w:r w:rsidRPr="004C0BAD">
        <w:rPr>
          <w:rFonts w:ascii="Times New Roman" w:hAnsi="Times New Roman"/>
          <w:sz w:val="28"/>
          <w:szCs w:val="28"/>
        </w:rPr>
        <w:t>ния</w:t>
      </w:r>
      <w:r w:rsidR="002F3DA3">
        <w:rPr>
          <w:rFonts w:ascii="Times New Roman" w:hAnsi="Times New Roman"/>
          <w:sz w:val="28"/>
          <w:szCs w:val="28"/>
        </w:rPr>
        <w:t xml:space="preserve"> и</w:t>
      </w:r>
      <w:r w:rsidRPr="004C0BAD">
        <w:rPr>
          <w:rFonts w:ascii="Times New Roman" w:hAnsi="Times New Roman"/>
          <w:sz w:val="28"/>
          <w:szCs w:val="28"/>
        </w:rPr>
        <w:t xml:space="preserve"> библиографического списка литературы.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введении </w:t>
      </w:r>
      <w:r w:rsidR="00AA62AB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0EC">
        <w:rPr>
          <w:rFonts w:ascii="Times New Roman" w:hAnsi="Times New Roman"/>
          <w:color w:val="000000"/>
          <w:sz w:val="28"/>
          <w:szCs w:val="28"/>
        </w:rPr>
        <w:t>актуальност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темы </w:t>
      </w:r>
      <w:r>
        <w:rPr>
          <w:rFonts w:ascii="Times New Roman" w:hAnsi="Times New Roman"/>
          <w:color w:val="000000"/>
          <w:sz w:val="28"/>
          <w:szCs w:val="28"/>
        </w:rPr>
        <w:t>исследования, его цели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и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B940EC">
        <w:rPr>
          <w:rFonts w:ascii="Times New Roman" w:hAnsi="Times New Roman"/>
          <w:color w:val="000000"/>
          <w:sz w:val="28"/>
          <w:szCs w:val="28"/>
        </w:rPr>
        <w:t>научн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новизн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940EC">
        <w:rPr>
          <w:rFonts w:ascii="Times New Roman" w:hAnsi="Times New Roman"/>
          <w:color w:val="000000"/>
          <w:sz w:val="28"/>
          <w:szCs w:val="28"/>
        </w:rPr>
        <w:t>, теоретич</w:t>
      </w:r>
      <w:r w:rsidRPr="00B940EC">
        <w:rPr>
          <w:rFonts w:ascii="Times New Roman" w:hAnsi="Times New Roman"/>
          <w:color w:val="000000"/>
          <w:sz w:val="28"/>
          <w:szCs w:val="28"/>
        </w:rPr>
        <w:t>е</w:t>
      </w:r>
      <w:r w:rsidRPr="00B940EC"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и практическ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>
        <w:rPr>
          <w:rFonts w:ascii="Times New Roman" w:hAnsi="Times New Roman"/>
          <w:color w:val="000000"/>
          <w:sz w:val="28"/>
          <w:szCs w:val="28"/>
        </w:rPr>
        <w:t xml:space="preserve">и, апробация работы. </w:t>
      </w:r>
    </w:p>
    <w:p w:rsidR="00575CF5" w:rsidRDefault="00975DF2" w:rsidP="00E71049">
      <w:pPr>
        <w:tabs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главе</w:t>
      </w:r>
      <w:r w:rsidR="00264CDE">
        <w:rPr>
          <w:rFonts w:ascii="Times New Roman" w:hAnsi="Times New Roman"/>
          <w:sz w:val="28"/>
          <w:szCs w:val="28"/>
        </w:rPr>
        <w:t xml:space="preserve"> диссертации </w:t>
      </w:r>
      <w:r w:rsidR="00FF715C">
        <w:rPr>
          <w:rFonts w:ascii="Times New Roman" w:hAnsi="Times New Roman"/>
          <w:sz w:val="28"/>
          <w:szCs w:val="28"/>
        </w:rPr>
        <w:t>–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E92FD0">
        <w:rPr>
          <w:rFonts w:ascii="Times New Roman" w:hAnsi="Times New Roman"/>
          <w:sz w:val="28"/>
          <w:szCs w:val="28"/>
        </w:rPr>
        <w:t>"</w:t>
      </w:r>
      <w:r w:rsidR="005B4116" w:rsidRPr="005B4116">
        <w:rPr>
          <w:rFonts w:ascii="Times New Roman" w:hAnsi="Times New Roman"/>
          <w:sz w:val="28"/>
          <w:szCs w:val="28"/>
        </w:rPr>
        <w:t>Теоретико-методологические подходы к неоиндустриализации российской экономики</w:t>
      </w:r>
      <w:r w:rsidR="00E92FD0">
        <w:rPr>
          <w:rFonts w:ascii="Times New Roman" w:hAnsi="Times New Roman"/>
          <w:sz w:val="28"/>
          <w:szCs w:val="28"/>
        </w:rPr>
        <w:t>"</w:t>
      </w:r>
      <w:r w:rsidR="00B57060">
        <w:rPr>
          <w:rFonts w:ascii="Times New Roman" w:hAnsi="Times New Roman"/>
          <w:sz w:val="28"/>
          <w:szCs w:val="28"/>
        </w:rPr>
        <w:t xml:space="preserve"> – </w:t>
      </w:r>
      <w:r w:rsidR="00883408">
        <w:rPr>
          <w:rFonts w:ascii="Times New Roman" w:hAnsi="Times New Roman"/>
          <w:sz w:val="28"/>
          <w:szCs w:val="28"/>
        </w:rPr>
        <w:t>содерж</w:t>
      </w:r>
      <w:r w:rsidR="004C0FBE">
        <w:rPr>
          <w:rFonts w:ascii="Times New Roman" w:hAnsi="Times New Roman"/>
          <w:sz w:val="28"/>
          <w:szCs w:val="28"/>
        </w:rPr>
        <w:t>а</w:t>
      </w:r>
      <w:r w:rsidR="00883408">
        <w:rPr>
          <w:rFonts w:ascii="Times New Roman" w:hAnsi="Times New Roman"/>
          <w:sz w:val="28"/>
          <w:szCs w:val="28"/>
        </w:rPr>
        <w:t>т</w:t>
      </w:r>
      <w:r w:rsidR="00575CF5">
        <w:rPr>
          <w:rFonts w:ascii="Times New Roman" w:hAnsi="Times New Roman"/>
          <w:sz w:val="28"/>
          <w:szCs w:val="28"/>
        </w:rPr>
        <w:t>ся</w:t>
      </w:r>
      <w:r w:rsidR="00CC71C3">
        <w:rPr>
          <w:rFonts w:ascii="Times New Roman" w:hAnsi="Times New Roman"/>
          <w:sz w:val="28"/>
          <w:szCs w:val="28"/>
        </w:rPr>
        <w:t xml:space="preserve"> </w:t>
      </w:r>
      <w:r w:rsidR="004C0FBE">
        <w:rPr>
          <w:rFonts w:ascii="Times New Roman" w:hAnsi="Times New Roman"/>
          <w:sz w:val="28"/>
          <w:szCs w:val="28"/>
        </w:rPr>
        <w:t>теоретические исследования</w:t>
      </w:r>
      <w:r w:rsidR="005B4116">
        <w:rPr>
          <w:rFonts w:ascii="Times New Roman" w:hAnsi="Times New Roman"/>
          <w:sz w:val="28"/>
          <w:szCs w:val="28"/>
        </w:rPr>
        <w:t xml:space="preserve"> и аргументация к</w:t>
      </w:r>
      <w:r w:rsidR="005B4116" w:rsidRPr="005B4116">
        <w:rPr>
          <w:rFonts w:ascii="Times New Roman" w:hAnsi="Times New Roman"/>
          <w:sz w:val="28"/>
          <w:szCs w:val="28"/>
        </w:rPr>
        <w:t>лючевы</w:t>
      </w:r>
      <w:r w:rsidR="005B4116">
        <w:rPr>
          <w:rFonts w:ascii="Times New Roman" w:hAnsi="Times New Roman"/>
          <w:sz w:val="28"/>
          <w:szCs w:val="28"/>
        </w:rPr>
        <w:t>х</w:t>
      </w:r>
      <w:r w:rsidR="005B4116" w:rsidRPr="005B4116">
        <w:rPr>
          <w:rFonts w:ascii="Times New Roman" w:hAnsi="Times New Roman"/>
          <w:sz w:val="28"/>
          <w:szCs w:val="28"/>
        </w:rPr>
        <w:t xml:space="preserve"> императив</w:t>
      </w:r>
      <w:r w:rsidR="005B4116">
        <w:rPr>
          <w:rFonts w:ascii="Times New Roman" w:hAnsi="Times New Roman"/>
          <w:sz w:val="28"/>
          <w:szCs w:val="28"/>
        </w:rPr>
        <w:t>ов</w:t>
      </w:r>
      <w:r w:rsidR="005B4116" w:rsidRPr="005B4116">
        <w:rPr>
          <w:rFonts w:ascii="Times New Roman" w:hAnsi="Times New Roman"/>
          <w:sz w:val="28"/>
          <w:szCs w:val="28"/>
        </w:rPr>
        <w:t xml:space="preserve"> </w:t>
      </w:r>
      <w:r w:rsidR="005B4116">
        <w:rPr>
          <w:rFonts w:ascii="Times New Roman" w:hAnsi="Times New Roman"/>
          <w:sz w:val="28"/>
          <w:szCs w:val="28"/>
        </w:rPr>
        <w:t>содержания</w:t>
      </w:r>
      <w:r w:rsidR="005B4116" w:rsidRPr="005B4116">
        <w:rPr>
          <w:rFonts w:ascii="Times New Roman" w:hAnsi="Times New Roman"/>
          <w:sz w:val="28"/>
          <w:szCs w:val="28"/>
        </w:rPr>
        <w:t xml:space="preserve"> и развития нового этапа индустриализации</w:t>
      </w:r>
      <w:r w:rsidR="005B4116">
        <w:rPr>
          <w:rFonts w:ascii="Times New Roman" w:hAnsi="Times New Roman"/>
          <w:sz w:val="28"/>
          <w:szCs w:val="28"/>
        </w:rPr>
        <w:t xml:space="preserve"> в контексте функциональной роли э</w:t>
      </w:r>
      <w:r w:rsidR="005B4116" w:rsidRPr="005B4116">
        <w:rPr>
          <w:rFonts w:ascii="Times New Roman" w:hAnsi="Times New Roman"/>
          <w:sz w:val="28"/>
          <w:szCs w:val="28"/>
        </w:rPr>
        <w:t>нергосб</w:t>
      </w:r>
      <w:r w:rsidR="005B4116" w:rsidRPr="005B4116">
        <w:rPr>
          <w:rFonts w:ascii="Times New Roman" w:hAnsi="Times New Roman"/>
          <w:sz w:val="28"/>
          <w:szCs w:val="28"/>
        </w:rPr>
        <w:t>е</w:t>
      </w:r>
      <w:r w:rsidR="005B4116" w:rsidRPr="005B4116">
        <w:rPr>
          <w:rFonts w:ascii="Times New Roman" w:hAnsi="Times New Roman"/>
          <w:sz w:val="28"/>
          <w:szCs w:val="28"/>
        </w:rPr>
        <w:t>реже</w:t>
      </w:r>
      <w:r w:rsidR="005B4116">
        <w:rPr>
          <w:rFonts w:ascii="Times New Roman" w:hAnsi="Times New Roman"/>
          <w:sz w:val="28"/>
          <w:szCs w:val="28"/>
        </w:rPr>
        <w:t xml:space="preserve">ния. </w:t>
      </w:r>
    </w:p>
    <w:p w:rsidR="00D11D3C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71C3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тор</w:t>
      </w:r>
      <w:r w:rsidR="00CC71C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глав</w:t>
      </w:r>
      <w:r w:rsidR="00CC71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диссертации </w:t>
      </w:r>
      <w:r w:rsidR="00FF71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57060">
        <w:rPr>
          <w:rFonts w:ascii="Times New Roman" w:hAnsi="Times New Roman"/>
          <w:sz w:val="28"/>
          <w:szCs w:val="28"/>
        </w:rPr>
        <w:t>"</w:t>
      </w:r>
      <w:r w:rsidR="0086757A" w:rsidRPr="0086757A">
        <w:rPr>
          <w:rFonts w:ascii="Times New Roman" w:hAnsi="Times New Roman"/>
          <w:sz w:val="28"/>
          <w:szCs w:val="28"/>
        </w:rPr>
        <w:t>Анализ тенденций использования топливно-энергетических ресурсов в национальной экономике</w:t>
      </w:r>
      <w:r w:rsidR="00B57060">
        <w:rPr>
          <w:rFonts w:ascii="Times New Roman" w:hAnsi="Times New Roman"/>
          <w:sz w:val="28"/>
          <w:szCs w:val="28"/>
        </w:rPr>
        <w:t>"</w:t>
      </w:r>
      <w:r w:rsidR="005D50AF">
        <w:rPr>
          <w:rFonts w:ascii="Times New Roman" w:hAnsi="Times New Roman"/>
          <w:sz w:val="28"/>
          <w:szCs w:val="28"/>
        </w:rPr>
        <w:t xml:space="preserve"> –</w:t>
      </w:r>
      <w:r w:rsidR="00AB2EC0">
        <w:rPr>
          <w:rFonts w:ascii="Times New Roman" w:hAnsi="Times New Roman"/>
          <w:sz w:val="28"/>
          <w:szCs w:val="28"/>
        </w:rPr>
        <w:t xml:space="preserve"> </w:t>
      </w:r>
      <w:r w:rsidR="00575CF5">
        <w:rPr>
          <w:rFonts w:ascii="Times New Roman" w:hAnsi="Times New Roman"/>
          <w:sz w:val="28"/>
          <w:szCs w:val="28"/>
        </w:rPr>
        <w:t xml:space="preserve">дана </w:t>
      </w:r>
      <w:r w:rsidR="0086757A">
        <w:rPr>
          <w:rFonts w:ascii="Times New Roman" w:hAnsi="Times New Roman"/>
          <w:sz w:val="28"/>
          <w:szCs w:val="28"/>
        </w:rPr>
        <w:t>структурная и статистическая оценка динамики основных э</w:t>
      </w:r>
      <w:r w:rsidR="0086757A" w:rsidRPr="0086757A">
        <w:rPr>
          <w:rFonts w:ascii="Times New Roman" w:hAnsi="Times New Roman"/>
          <w:sz w:val="28"/>
          <w:szCs w:val="28"/>
        </w:rPr>
        <w:t>нергосырьевы</w:t>
      </w:r>
      <w:r w:rsidR="0086757A">
        <w:rPr>
          <w:rFonts w:ascii="Times New Roman" w:hAnsi="Times New Roman"/>
          <w:sz w:val="28"/>
          <w:szCs w:val="28"/>
        </w:rPr>
        <w:t>х</w:t>
      </w:r>
      <w:r w:rsidR="0086757A" w:rsidRPr="0086757A">
        <w:rPr>
          <w:rFonts w:ascii="Times New Roman" w:hAnsi="Times New Roman"/>
          <w:sz w:val="28"/>
          <w:szCs w:val="28"/>
        </w:rPr>
        <w:t xml:space="preserve"> компонент</w:t>
      </w:r>
      <w:r w:rsidR="0086757A">
        <w:rPr>
          <w:rFonts w:ascii="Times New Roman" w:hAnsi="Times New Roman"/>
          <w:sz w:val="28"/>
          <w:szCs w:val="28"/>
        </w:rPr>
        <w:t>ов</w:t>
      </w:r>
      <w:r w:rsidR="0086757A" w:rsidRPr="0086757A">
        <w:rPr>
          <w:rFonts w:ascii="Times New Roman" w:hAnsi="Times New Roman"/>
          <w:sz w:val="28"/>
          <w:szCs w:val="28"/>
        </w:rPr>
        <w:t xml:space="preserve"> неоиндустриальной модернизации</w:t>
      </w:r>
      <w:r w:rsidR="00DC64D9">
        <w:rPr>
          <w:rFonts w:ascii="Times New Roman" w:hAnsi="Times New Roman"/>
          <w:sz w:val="28"/>
          <w:szCs w:val="28"/>
        </w:rPr>
        <w:t xml:space="preserve"> и показана п</w:t>
      </w:r>
      <w:r w:rsidR="0086757A" w:rsidRPr="0086757A">
        <w:rPr>
          <w:rFonts w:ascii="Times New Roman" w:hAnsi="Times New Roman"/>
          <w:sz w:val="28"/>
          <w:szCs w:val="28"/>
        </w:rPr>
        <w:t xml:space="preserve">ромышленность </w:t>
      </w:r>
      <w:r w:rsidR="00DC64D9">
        <w:rPr>
          <w:rFonts w:ascii="Times New Roman" w:hAnsi="Times New Roman"/>
          <w:sz w:val="28"/>
          <w:szCs w:val="28"/>
        </w:rPr>
        <w:t>в качестве</w:t>
      </w:r>
      <w:r w:rsidR="0086757A" w:rsidRPr="0086757A">
        <w:rPr>
          <w:rFonts w:ascii="Times New Roman" w:hAnsi="Times New Roman"/>
          <w:sz w:val="28"/>
          <w:szCs w:val="28"/>
        </w:rPr>
        <w:t xml:space="preserve"> наиболее энергоемк</w:t>
      </w:r>
      <w:r w:rsidR="00DC64D9">
        <w:rPr>
          <w:rFonts w:ascii="Times New Roman" w:hAnsi="Times New Roman"/>
          <w:sz w:val="28"/>
          <w:szCs w:val="28"/>
        </w:rPr>
        <w:t>ого</w:t>
      </w:r>
      <w:r w:rsidR="0086757A" w:rsidRPr="0086757A">
        <w:rPr>
          <w:rFonts w:ascii="Times New Roman" w:hAnsi="Times New Roman"/>
          <w:sz w:val="28"/>
          <w:szCs w:val="28"/>
        </w:rPr>
        <w:t xml:space="preserve"> сектор</w:t>
      </w:r>
      <w:r w:rsidR="00DC64D9">
        <w:rPr>
          <w:rFonts w:ascii="Times New Roman" w:hAnsi="Times New Roman"/>
          <w:sz w:val="28"/>
          <w:szCs w:val="28"/>
        </w:rPr>
        <w:t>а</w:t>
      </w:r>
      <w:r w:rsidR="0086757A" w:rsidRPr="0086757A">
        <w:rPr>
          <w:rFonts w:ascii="Times New Roman" w:hAnsi="Times New Roman"/>
          <w:sz w:val="28"/>
          <w:szCs w:val="28"/>
        </w:rPr>
        <w:t xml:space="preserve"> экономики</w:t>
      </w:r>
      <w:r w:rsidR="00DC64D9">
        <w:rPr>
          <w:rFonts w:ascii="Times New Roman" w:hAnsi="Times New Roman"/>
          <w:sz w:val="28"/>
          <w:szCs w:val="28"/>
        </w:rPr>
        <w:t xml:space="preserve">. </w:t>
      </w:r>
    </w:p>
    <w:p w:rsidR="005155B4" w:rsidRDefault="00264CDE" w:rsidP="00DC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третьей главе диссертации </w:t>
      </w:r>
      <w:r w:rsidR="00FF71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C64D9">
        <w:rPr>
          <w:rFonts w:ascii="Times New Roman" w:hAnsi="Times New Roman"/>
          <w:sz w:val="28"/>
          <w:szCs w:val="28"/>
        </w:rPr>
        <w:t>"</w:t>
      </w:r>
      <w:r w:rsidR="00DC64D9" w:rsidRPr="00DC64D9">
        <w:rPr>
          <w:rFonts w:ascii="Times New Roman" w:hAnsi="Times New Roman"/>
          <w:sz w:val="28"/>
          <w:szCs w:val="28"/>
        </w:rPr>
        <w:t>Приоритетные механизмы снижения энергоемкости промышленного производства</w:t>
      </w:r>
      <w:r w:rsidR="00DC64D9">
        <w:rPr>
          <w:rFonts w:ascii="Times New Roman" w:hAnsi="Times New Roman"/>
          <w:sz w:val="28"/>
          <w:szCs w:val="28"/>
        </w:rPr>
        <w:t>"</w:t>
      </w:r>
      <w:r w:rsidR="00DC64D9" w:rsidRPr="00DC64D9">
        <w:rPr>
          <w:rFonts w:ascii="Times New Roman" w:hAnsi="Times New Roman"/>
          <w:sz w:val="28"/>
          <w:szCs w:val="28"/>
        </w:rPr>
        <w:t xml:space="preserve"> </w:t>
      </w:r>
      <w:r w:rsidR="005D50AF">
        <w:rPr>
          <w:rFonts w:ascii="Times New Roman" w:hAnsi="Times New Roman"/>
          <w:sz w:val="28"/>
          <w:szCs w:val="28"/>
        </w:rPr>
        <w:t xml:space="preserve">– </w:t>
      </w:r>
      <w:r w:rsidR="00DC64D9">
        <w:rPr>
          <w:rFonts w:ascii="Times New Roman" w:hAnsi="Times New Roman"/>
          <w:sz w:val="28"/>
          <w:szCs w:val="28"/>
        </w:rPr>
        <w:t xml:space="preserve">разработаны и </w:t>
      </w:r>
      <w:r w:rsidR="000D1849">
        <w:rPr>
          <w:rFonts w:ascii="Times New Roman" w:hAnsi="Times New Roman"/>
          <w:sz w:val="28"/>
          <w:szCs w:val="28"/>
        </w:rPr>
        <w:t xml:space="preserve">предложены </w:t>
      </w:r>
      <w:r w:rsidR="00DC64D9">
        <w:rPr>
          <w:rFonts w:ascii="Times New Roman" w:hAnsi="Times New Roman"/>
          <w:sz w:val="28"/>
          <w:szCs w:val="28"/>
        </w:rPr>
        <w:t>механизмы формирования</w:t>
      </w:r>
      <w:r w:rsidR="00DC64D9" w:rsidRPr="007249E6">
        <w:rPr>
          <w:rFonts w:ascii="Times New Roman" w:hAnsi="Times New Roman"/>
          <w:sz w:val="28"/>
          <w:szCs w:val="28"/>
        </w:rPr>
        <w:t xml:space="preserve"> </w:t>
      </w:r>
      <w:r w:rsidR="00DC64D9">
        <w:rPr>
          <w:rFonts w:ascii="Times New Roman" w:hAnsi="Times New Roman"/>
          <w:sz w:val="28"/>
          <w:szCs w:val="28"/>
        </w:rPr>
        <w:t xml:space="preserve">и развития </w:t>
      </w:r>
      <w:r w:rsidR="00DC64D9" w:rsidRPr="007249E6">
        <w:rPr>
          <w:rFonts w:ascii="Times New Roman" w:hAnsi="Times New Roman"/>
          <w:sz w:val="28"/>
          <w:szCs w:val="28"/>
        </w:rPr>
        <w:t>энергосерви</w:t>
      </w:r>
      <w:r w:rsidR="00DC64D9" w:rsidRPr="007249E6">
        <w:rPr>
          <w:rFonts w:ascii="Times New Roman" w:hAnsi="Times New Roman"/>
          <w:sz w:val="28"/>
          <w:szCs w:val="28"/>
        </w:rPr>
        <w:t>с</w:t>
      </w:r>
      <w:r w:rsidR="00DC64D9" w:rsidRPr="007249E6">
        <w:rPr>
          <w:rFonts w:ascii="Times New Roman" w:hAnsi="Times New Roman"/>
          <w:sz w:val="28"/>
          <w:szCs w:val="28"/>
        </w:rPr>
        <w:t>ных кластеров</w:t>
      </w:r>
      <w:r w:rsidR="00DC64D9">
        <w:rPr>
          <w:rFonts w:ascii="Times New Roman" w:hAnsi="Times New Roman"/>
          <w:sz w:val="28"/>
          <w:szCs w:val="28"/>
        </w:rPr>
        <w:t xml:space="preserve"> и </w:t>
      </w:r>
      <w:r w:rsidR="00DC64D9" w:rsidRPr="00A96C1D">
        <w:rPr>
          <w:rFonts w:ascii="Times New Roman" w:hAnsi="Times New Roman"/>
          <w:sz w:val="28"/>
          <w:szCs w:val="28"/>
        </w:rPr>
        <w:t>государственно-частного партнерства</w:t>
      </w:r>
      <w:r w:rsidR="00DC64D9">
        <w:rPr>
          <w:rFonts w:ascii="Times New Roman" w:hAnsi="Times New Roman"/>
          <w:sz w:val="28"/>
          <w:szCs w:val="28"/>
        </w:rPr>
        <w:t xml:space="preserve"> </w:t>
      </w:r>
      <w:r w:rsidR="00DC64D9" w:rsidRPr="00A96C1D">
        <w:rPr>
          <w:rFonts w:ascii="Times New Roman" w:hAnsi="Times New Roman"/>
          <w:sz w:val="28"/>
          <w:szCs w:val="28"/>
        </w:rPr>
        <w:t>для по</w:t>
      </w:r>
      <w:r w:rsidR="00DC64D9" w:rsidRPr="00A96C1D">
        <w:rPr>
          <w:rFonts w:ascii="Times New Roman" w:hAnsi="Times New Roman"/>
          <w:sz w:val="28"/>
          <w:szCs w:val="28"/>
        </w:rPr>
        <w:t>д</w:t>
      </w:r>
      <w:r w:rsidR="00DC64D9" w:rsidRPr="00A96C1D">
        <w:rPr>
          <w:rFonts w:ascii="Times New Roman" w:hAnsi="Times New Roman"/>
          <w:sz w:val="28"/>
          <w:szCs w:val="28"/>
        </w:rPr>
        <w:t>держки развития института энергосервисных контрактов</w:t>
      </w:r>
      <w:r w:rsidR="00DC64D9">
        <w:rPr>
          <w:rFonts w:ascii="Times New Roman" w:hAnsi="Times New Roman"/>
          <w:sz w:val="28"/>
          <w:szCs w:val="28"/>
        </w:rPr>
        <w:t xml:space="preserve">.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</w:t>
      </w:r>
      <w:r w:rsidRPr="00B940EC"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ожены основные результаты и выводы диссертацио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 w:rsidR="00BD049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D049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715C" w:rsidRDefault="00FF715C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76A" w:rsidRPr="0099112D" w:rsidRDefault="003B101F" w:rsidP="003B1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2D">
        <w:rPr>
          <w:rFonts w:ascii="Times New Roman" w:hAnsi="Times New Roman"/>
          <w:b/>
          <w:sz w:val="28"/>
          <w:szCs w:val="28"/>
        </w:rPr>
        <w:t>Основное  содержание  работы</w:t>
      </w:r>
    </w:p>
    <w:p w:rsidR="005F19BD" w:rsidRPr="0099112D" w:rsidRDefault="005F19BD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DF2" w:rsidRDefault="00917723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активно исследуются вопросы развития постиндус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риального общества и формирования общества знаний. </w:t>
      </w:r>
      <w:r w:rsidRPr="00917723">
        <w:rPr>
          <w:rFonts w:ascii="Times New Roman" w:hAnsi="Times New Roman"/>
          <w:sz w:val="28"/>
          <w:szCs w:val="28"/>
        </w:rPr>
        <w:t>Наиболее распростр</w:t>
      </w:r>
      <w:r w:rsidRPr="00917723">
        <w:rPr>
          <w:rFonts w:ascii="Times New Roman" w:hAnsi="Times New Roman"/>
          <w:sz w:val="28"/>
          <w:szCs w:val="28"/>
        </w:rPr>
        <w:t>а</w:t>
      </w:r>
      <w:r w:rsidRPr="00917723">
        <w:rPr>
          <w:rFonts w:ascii="Times New Roman" w:hAnsi="Times New Roman"/>
          <w:sz w:val="28"/>
          <w:szCs w:val="28"/>
        </w:rPr>
        <w:t>ненными концепциями, получившими свое развитие в рамках теории постиндустриального общества, стали: «технотронное общество», «супериндустриальное общество», «технократич</w:t>
      </w:r>
      <w:r w:rsidRPr="00917723">
        <w:rPr>
          <w:rFonts w:ascii="Times New Roman" w:hAnsi="Times New Roman"/>
          <w:sz w:val="28"/>
          <w:szCs w:val="28"/>
        </w:rPr>
        <w:t>е</w:t>
      </w:r>
      <w:r w:rsidRPr="00917723">
        <w:rPr>
          <w:rFonts w:ascii="Times New Roman" w:hAnsi="Times New Roman"/>
          <w:sz w:val="28"/>
          <w:szCs w:val="28"/>
        </w:rPr>
        <w:t>ское программированное обществ», «постбуржуазное общество», «информ</w:t>
      </w:r>
      <w:r w:rsidRPr="00917723">
        <w:rPr>
          <w:rFonts w:ascii="Times New Roman" w:hAnsi="Times New Roman"/>
          <w:sz w:val="28"/>
          <w:szCs w:val="28"/>
        </w:rPr>
        <w:t>а</w:t>
      </w:r>
      <w:r w:rsidRPr="00917723">
        <w:rPr>
          <w:rFonts w:ascii="Times New Roman" w:hAnsi="Times New Roman"/>
          <w:sz w:val="28"/>
          <w:szCs w:val="28"/>
        </w:rPr>
        <w:t>тивное общество» и др. В совокупности же все эти концепции сформировались вокруг единого положения, согласно которому ведущую роль в развитии общества исполняет наука и техника, а исключител</w:t>
      </w:r>
      <w:r w:rsidRPr="00917723">
        <w:rPr>
          <w:rFonts w:ascii="Times New Roman" w:hAnsi="Times New Roman"/>
          <w:sz w:val="28"/>
          <w:szCs w:val="28"/>
        </w:rPr>
        <w:t>ь</w:t>
      </w:r>
      <w:r w:rsidRPr="00917723">
        <w:rPr>
          <w:rFonts w:ascii="Times New Roman" w:hAnsi="Times New Roman"/>
          <w:sz w:val="28"/>
          <w:szCs w:val="28"/>
        </w:rPr>
        <w:t>но высокий уровень производства обеспечивает всеобщее благополучие, в результате чего должны исчезнуть классовое неравенство и прекратиться социальные конфликты.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D3C" w:rsidRDefault="00917723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7723">
        <w:rPr>
          <w:rFonts w:ascii="Times New Roman" w:hAnsi="Times New Roman"/>
          <w:sz w:val="28"/>
          <w:szCs w:val="28"/>
        </w:rPr>
        <w:t xml:space="preserve"> тоже время, изменения, вызванные научно-технической революцией, были свойственны не для всех стран мира, а лишь для тех, которые наилучшим образом преуспели в освоении достижений науки и техники. И даже в этом случае теория постиндустриального общества реализовалась не полностью, так как появление класса менеджеров не способствовало изменению </w:t>
      </w:r>
      <w:r>
        <w:rPr>
          <w:rFonts w:ascii="Times New Roman" w:hAnsi="Times New Roman"/>
          <w:sz w:val="28"/>
          <w:szCs w:val="28"/>
        </w:rPr>
        <w:t xml:space="preserve">социально-экономической </w:t>
      </w:r>
      <w:r w:rsidRPr="00917723">
        <w:rPr>
          <w:rFonts w:ascii="Times New Roman" w:hAnsi="Times New Roman"/>
          <w:sz w:val="28"/>
          <w:szCs w:val="28"/>
        </w:rPr>
        <w:t>сущности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0FBE">
        <w:rPr>
          <w:rFonts w:ascii="Times New Roman" w:hAnsi="Times New Roman"/>
          <w:sz w:val="28"/>
          <w:szCs w:val="28"/>
        </w:rPr>
        <w:t>общества,</w:t>
      </w:r>
      <w:r w:rsidRPr="00917723">
        <w:rPr>
          <w:rFonts w:ascii="Times New Roman" w:hAnsi="Times New Roman"/>
          <w:sz w:val="28"/>
          <w:szCs w:val="28"/>
        </w:rPr>
        <w:t xml:space="preserve"> </w:t>
      </w:r>
      <w:r w:rsidR="004C0FBE">
        <w:rPr>
          <w:rFonts w:ascii="Times New Roman" w:hAnsi="Times New Roman"/>
          <w:sz w:val="28"/>
          <w:szCs w:val="28"/>
        </w:rPr>
        <w:t>а</w:t>
      </w:r>
      <w:r w:rsidRPr="00917723">
        <w:rPr>
          <w:rFonts w:ascii="Times New Roman" w:hAnsi="Times New Roman"/>
          <w:sz w:val="28"/>
          <w:szCs w:val="28"/>
        </w:rPr>
        <w:t xml:space="preserve"> получение прибыли оставалось и остается основной целью производственной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0FBE" w:rsidRPr="004C0FBE" w:rsidRDefault="004C0FBE" w:rsidP="004C0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FBE">
        <w:rPr>
          <w:rFonts w:ascii="Times New Roman" w:hAnsi="Times New Roman"/>
          <w:sz w:val="28"/>
          <w:szCs w:val="28"/>
        </w:rPr>
        <w:t>Таким образом, реализуя свой научно-технический потенциал, передовые страны мира смогли создать такую хозяйственную систему, которая наиболее полным образом отвечает современным условиям научно-технической революции. Тем самым, они обозначили начало нового этапа научно-технической революции, предполагающего создание электронной автоматизированной основы современного производства, объединяющей в единые производственные цепочки снабжение, сбыт, управление и финансы, что в конечном итоге позволяет снижать себестоимость выпуска продукции, повышать ее качество, наиболее полно учитывать потребности отдельных групп потребителей. Кроме того, в настоящее время можно выделить и другие направления научно-технологического прогресса, задающие векторы развития производительных сил. Это использование новых источников энергии, широкое внедрение фондосберегающих технологий, добыча природных ископаемых в особо сложных условиях, создание материалов с заранее заданными свойствами и т.д. При этом особое значение придается биотехнологиям, генной инженерии, искусственному интеллекту.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AE7" w:rsidRPr="00017AE7" w:rsidRDefault="00017AE7" w:rsidP="0001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17AE7">
        <w:rPr>
          <w:rFonts w:ascii="Times New Roman" w:hAnsi="Times New Roman"/>
          <w:sz w:val="28"/>
          <w:szCs w:val="28"/>
        </w:rPr>
        <w:t>течественная экономика по-прежнему ориентирована на продукцию сырьевых отраслей. А, например, отрасли машиностроения, призванные обеспечить техническое перевооружение предприятий, развиваются крайне медленно. В результате чего, нового производственного оборудования в России создается в 80 раз меньше, чем в Японии, или в 30 раз меньше, чем в Китае. Существенные сложности испытывает отрасль НИОКР, так как совокупные расходы в ней составляют всего лишь 2% от ВВП. Благодаря чему научно-техническое отставание является основным сдерживающим фактором проведения современной реиндустриализации.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AE7" w:rsidRPr="00017AE7" w:rsidRDefault="00017AE7" w:rsidP="0001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AE7">
        <w:rPr>
          <w:rFonts w:ascii="Times New Roman" w:hAnsi="Times New Roman"/>
          <w:sz w:val="28"/>
          <w:szCs w:val="28"/>
        </w:rPr>
        <w:t>В связи с этим становится видно, что, с одной стороны, общепризнанным базисом отечественной модели новой индустриализации является одновременное восстановление промышленного потенциала и перевод промышленных производств на шестой технологический уклад. С другой стороны, для скорого перехода отечественных производств к новому – шестому технологическому укладу, необходимо восстановление разрушенного научно-технического потенциала, препятствующего этому в настоящее время. Именно данные положения лежат в основе современных представлений большой части представителей экспертного сообщества о проведении нового этапа индустриализации российской экономики, отвечающего ключевым трендам развития мировой экономики в целом и экономики развитых стран в частности.</w:t>
      </w:r>
    </w:p>
    <w:p w:rsidR="004C0FBE" w:rsidRDefault="00017AE7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17AE7">
        <w:rPr>
          <w:rFonts w:ascii="Times New Roman" w:hAnsi="Times New Roman"/>
          <w:sz w:val="28"/>
          <w:szCs w:val="28"/>
        </w:rPr>
        <w:t>а пути формирования новой технологической основы экономики и ее опережающего развития стоит проблема энерго-сырьевой ориентации хозяйственного комплекса страны. Так, переход к производствам шестого технологического уклада будет способствовать повышению эффективности использования ресурсов и снижению энергоемкости выпуска товаров. В связи с чем прогнозируется замедление темпов роста мировых потребностей в энергоресурсах. Однако снижение энергоемкости и повышение эффективности производств будет способствовать снижению производственных издержек, а, вместе с тем, и росту конкурентоспособности товаров как на внутреннем, так и на внешнем рынках. Следовательно, одним из условий проведения новой волны индустриализации в России, соответствующей современным мировым тенденциям, является не только технико-технологическое развитие производств, но и выработка передовых подходов к энергосбережению.</w:t>
      </w:r>
    </w:p>
    <w:p w:rsidR="00F96EE1" w:rsidRPr="00F96EE1" w:rsidRDefault="00F96EE1" w:rsidP="00F96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EE1">
        <w:rPr>
          <w:rFonts w:ascii="Times New Roman" w:hAnsi="Times New Roman"/>
          <w:sz w:val="28"/>
          <w:szCs w:val="28"/>
        </w:rPr>
        <w:t>При этом формирование программ НИОКР по энергосбережению должно учитывать следующие направления снижения потребления топливно-энергетических ресурсов: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E1">
        <w:rPr>
          <w:rFonts w:ascii="Times New Roman" w:hAnsi="Times New Roman"/>
          <w:sz w:val="28"/>
          <w:szCs w:val="28"/>
        </w:rPr>
        <w:t>исключение нерационального использования энергии;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E1">
        <w:rPr>
          <w:rFonts w:ascii="Times New Roman" w:hAnsi="Times New Roman"/>
          <w:sz w:val="28"/>
          <w:szCs w:val="28"/>
        </w:rPr>
        <w:t>устранение потерь энергии;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E1">
        <w:rPr>
          <w:rFonts w:ascii="Times New Roman" w:hAnsi="Times New Roman"/>
          <w:sz w:val="28"/>
          <w:szCs w:val="28"/>
        </w:rPr>
        <w:t>повышение эффективности использов</w:t>
      </w:r>
      <w:r w:rsidRPr="00F96EE1">
        <w:rPr>
          <w:rFonts w:ascii="Times New Roman" w:hAnsi="Times New Roman"/>
          <w:sz w:val="28"/>
          <w:szCs w:val="28"/>
        </w:rPr>
        <w:t>а</w:t>
      </w:r>
      <w:r w:rsidRPr="00F96EE1">
        <w:rPr>
          <w:rFonts w:ascii="Times New Roman" w:hAnsi="Times New Roman"/>
          <w:sz w:val="28"/>
          <w:szCs w:val="28"/>
        </w:rPr>
        <w:t>ния энергии.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E1">
        <w:rPr>
          <w:rFonts w:ascii="Times New Roman" w:hAnsi="Times New Roman"/>
          <w:sz w:val="28"/>
          <w:szCs w:val="28"/>
        </w:rPr>
        <w:t>Следует подчеркнуть, что именно в такой очередности должны осущес</w:t>
      </w:r>
      <w:r w:rsidRPr="00F96EE1">
        <w:rPr>
          <w:rFonts w:ascii="Times New Roman" w:hAnsi="Times New Roman"/>
          <w:sz w:val="28"/>
          <w:szCs w:val="28"/>
        </w:rPr>
        <w:t>т</w:t>
      </w:r>
      <w:r w:rsidRPr="00F96EE1">
        <w:rPr>
          <w:rFonts w:ascii="Times New Roman" w:hAnsi="Times New Roman"/>
          <w:sz w:val="28"/>
          <w:szCs w:val="28"/>
        </w:rPr>
        <w:t>вляться мероприятия по снижению энергопотребления, так как представляется нецелесообразным первоочередное проведение мероприятия по снижению энергопотребления в отсутствии мероприятий по устранению потерь энергии или исключения ее нерационального использования. Проблемы, связанные с решением данной проблемы, усугубляются высокой степенью морального и физического износа производственных фондов, недостатком квалифицированных кадров, низкой заинтересованностью частного сектора. Неотъемлемым направлением решения данной задачи является производство и повсеместное внедрение современного энергоэффе</w:t>
      </w:r>
      <w:r w:rsidRPr="00F96EE1">
        <w:rPr>
          <w:rFonts w:ascii="Times New Roman" w:hAnsi="Times New Roman"/>
          <w:sz w:val="28"/>
          <w:szCs w:val="28"/>
        </w:rPr>
        <w:t>к</w:t>
      </w:r>
      <w:r w:rsidRPr="00F96EE1">
        <w:rPr>
          <w:rFonts w:ascii="Times New Roman" w:hAnsi="Times New Roman"/>
          <w:sz w:val="28"/>
          <w:szCs w:val="28"/>
        </w:rPr>
        <w:t>тивного оборудования и современных производственных технологий, отвечающих критериям повышенной экономичности, надежности, безопасности и экологичности, что в совокупности должно повысить эффективность использования топливно-энергетических ресурсов в различных секторах экономики, и, в первую очередь, в наиболее энергоемких.</w:t>
      </w:r>
    </w:p>
    <w:p w:rsidR="00F96EE1" w:rsidRPr="00F96EE1" w:rsidRDefault="00F96EE1" w:rsidP="00F96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6EE1">
        <w:rPr>
          <w:rFonts w:ascii="Times New Roman" w:hAnsi="Times New Roman"/>
          <w:sz w:val="28"/>
          <w:szCs w:val="28"/>
        </w:rPr>
        <w:t xml:space="preserve"> настоящее время Россия занимает промежуточный этап между полным отрицанием необходимости энергосбережения и повсеместным внедрением энергосберегающих технологий. При этом все более активным образом ведется разработка и реализация политики энергосбережения и повышения энергоэффективности экономики – этапа, который развитые страны прошли более 20 лет назад.</w:t>
      </w:r>
    </w:p>
    <w:p w:rsidR="00017AE7" w:rsidRDefault="00F96EE1" w:rsidP="00F96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EE1">
        <w:rPr>
          <w:rFonts w:ascii="Times New Roman" w:hAnsi="Times New Roman"/>
          <w:sz w:val="28"/>
          <w:szCs w:val="28"/>
        </w:rPr>
        <w:t>Таким образом, становится видно, что обеспечение энергосбережения в настоящий момент времени является одним из приоритетов модернизации национальной экономики. Представляется, что именно повышение энергоэффективности и снижение энергоемкости промышленных производств может выступить основой устойчивого экономического роста в среднесрочной и долгосрочной перспективах. При этом следует понимать, что энергосбереж</w:t>
      </w:r>
      <w:r w:rsidRPr="00F96EE1">
        <w:rPr>
          <w:rFonts w:ascii="Times New Roman" w:hAnsi="Times New Roman"/>
          <w:sz w:val="28"/>
          <w:szCs w:val="28"/>
        </w:rPr>
        <w:t>е</w:t>
      </w:r>
      <w:r w:rsidRPr="00F96EE1">
        <w:rPr>
          <w:rFonts w:ascii="Times New Roman" w:hAnsi="Times New Roman"/>
          <w:sz w:val="28"/>
          <w:szCs w:val="28"/>
        </w:rPr>
        <w:t>ние является комплексной задачей, требующей соответствующего подхода к своему решению: проведения конкретных мероприятий экономического, правового и организационного характера, способствующих снижению энергоемкости производства.</w:t>
      </w:r>
    </w:p>
    <w:p w:rsidR="00901A16" w:rsidRPr="00901A16" w:rsidRDefault="00901A16" w:rsidP="00901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16">
        <w:rPr>
          <w:rFonts w:ascii="Times New Roman" w:hAnsi="Times New Roman"/>
          <w:sz w:val="28"/>
          <w:szCs w:val="28"/>
        </w:rPr>
        <w:t xml:space="preserve">Россия является самым крупным производителем нефти в мире. Из диаграмм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01A16">
        <w:rPr>
          <w:rFonts w:ascii="Times New Roman" w:hAnsi="Times New Roman"/>
          <w:sz w:val="28"/>
          <w:szCs w:val="28"/>
        </w:rPr>
        <w:t>рисунке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A16">
        <w:rPr>
          <w:rFonts w:ascii="Times New Roman" w:hAnsi="Times New Roman"/>
          <w:sz w:val="28"/>
          <w:szCs w:val="28"/>
        </w:rPr>
        <w:t>видно, что и в 1985, и в 2014 годах Россия занимала первое место в мире с уровнем добычи нефти в 11,9 и 10,9 млн. барр./сутки, 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1A16" w:rsidRPr="00901A16" w:rsidRDefault="00901A16" w:rsidP="00901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A16" w:rsidRPr="00901A16" w:rsidRDefault="00E82C42" w:rsidP="0090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43225" cy="40957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1300" cy="4105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1A16" w:rsidRPr="00BB65D5" w:rsidRDefault="00901A16" w:rsidP="009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16">
        <w:rPr>
          <w:rFonts w:ascii="Times New Roman" w:hAnsi="Times New Roman"/>
          <w:sz w:val="24"/>
          <w:szCs w:val="24"/>
        </w:rPr>
        <w:t>Рисунок 1 – Ведущие производители нефти в 1985 и 2014 годах, млн. барр./сутки (диаграммы составлены автором на основе данных: http://top.rbc.ru/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901A16">
        <w:rPr>
          <w:rFonts w:ascii="Times New Roman" w:hAnsi="Times New Roman"/>
          <w:sz w:val="24"/>
          <w:szCs w:val="24"/>
        </w:rPr>
        <w:t>usiness/05/02/2015</w:t>
      </w:r>
    </w:p>
    <w:p w:rsidR="00901A16" w:rsidRPr="00BB65D5" w:rsidRDefault="00901A16" w:rsidP="00901A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B65D5">
        <w:rPr>
          <w:rFonts w:ascii="Times New Roman" w:hAnsi="Times New Roman"/>
          <w:sz w:val="24"/>
          <w:szCs w:val="24"/>
          <w:lang w:val="en-US"/>
        </w:rPr>
        <w:t>/54d120349a79471dce173fca#xtor=AL-[internal_traffic]--[rbc.ru]-[lenta_body]-[news])</w:t>
      </w:r>
    </w:p>
    <w:p w:rsidR="00D11D3C" w:rsidRPr="00BB65D5" w:rsidRDefault="00D11D3C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16" w:rsidRPr="00901A16" w:rsidRDefault="00D45B37" w:rsidP="00901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16">
        <w:rPr>
          <w:rFonts w:ascii="Times New Roman" w:hAnsi="Times New Roman"/>
          <w:sz w:val="28"/>
          <w:szCs w:val="28"/>
        </w:rPr>
        <w:t>Между тем, фактор того, что Россия является крупнейшей нефтедоб</w:t>
      </w:r>
      <w:r w:rsidRPr="00901A16">
        <w:rPr>
          <w:rFonts w:ascii="Times New Roman" w:hAnsi="Times New Roman"/>
          <w:sz w:val="28"/>
          <w:szCs w:val="28"/>
        </w:rPr>
        <w:t>ы</w:t>
      </w:r>
      <w:r w:rsidRPr="00901A16">
        <w:rPr>
          <w:rFonts w:ascii="Times New Roman" w:hAnsi="Times New Roman"/>
          <w:sz w:val="28"/>
          <w:szCs w:val="28"/>
        </w:rPr>
        <w:t>вающей державой, опосредуется и ролью нефти в структуре экспорта отечественной экономики</w:t>
      </w:r>
      <w:r w:rsidRPr="00BB65D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рисунок</w:t>
      </w:r>
      <w:r w:rsidRPr="00901A1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901A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B37" w:rsidRDefault="00E82C42" w:rsidP="00D4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0" cy="30575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1A16" w:rsidRPr="00D45B37" w:rsidRDefault="00901A16" w:rsidP="00D45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B37">
        <w:rPr>
          <w:rFonts w:ascii="Times New Roman" w:hAnsi="Times New Roman"/>
          <w:sz w:val="24"/>
          <w:szCs w:val="24"/>
        </w:rPr>
        <w:t>Р</w:t>
      </w:r>
      <w:r w:rsidRPr="00D45B37">
        <w:rPr>
          <w:rFonts w:ascii="Times New Roman" w:hAnsi="Times New Roman"/>
          <w:sz w:val="24"/>
          <w:szCs w:val="24"/>
        </w:rPr>
        <w:t>и</w:t>
      </w:r>
      <w:r w:rsidRPr="00D45B37">
        <w:rPr>
          <w:rFonts w:ascii="Times New Roman" w:hAnsi="Times New Roman"/>
          <w:sz w:val="24"/>
          <w:szCs w:val="24"/>
        </w:rPr>
        <w:t xml:space="preserve">сунок 2. – Изменение структуры экспорта </w:t>
      </w:r>
      <w:r w:rsidR="00D45B37">
        <w:rPr>
          <w:rFonts w:ascii="Times New Roman" w:hAnsi="Times New Roman"/>
          <w:sz w:val="24"/>
          <w:szCs w:val="24"/>
        </w:rPr>
        <w:t xml:space="preserve">России </w:t>
      </w:r>
      <w:r w:rsidRPr="00D45B37">
        <w:rPr>
          <w:rFonts w:ascii="Times New Roman" w:hAnsi="Times New Roman"/>
          <w:sz w:val="24"/>
          <w:szCs w:val="24"/>
        </w:rPr>
        <w:t>в 2006-2013 годах, млрд. долл. США и в % к итогу (диаграмма рассчитана и составлена автором на основе данных: Внешняя торговля // Федеральная служба государственной статистики. – URL: http://www.gks.ru/free_doc/new_site/vnesh-t/exp-to.htm)</w:t>
      </w:r>
    </w:p>
    <w:p w:rsidR="00901A16" w:rsidRPr="00901A16" w:rsidRDefault="00901A16" w:rsidP="00901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B37" w:rsidRPr="00D45B37" w:rsidRDefault="00D45B37" w:rsidP="00D45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B37">
        <w:rPr>
          <w:rFonts w:ascii="Times New Roman" w:hAnsi="Times New Roman"/>
          <w:sz w:val="28"/>
          <w:szCs w:val="28"/>
        </w:rPr>
        <w:t>Таким образом, доля нефти и нефтепродуктов не только занимает более половины совокупного экспорта национальной экономики, но и постепенно увеличивается. Причем, увеличение происходит в основном за счет наращивания объема экспорта нефтепродуктов, в то время как рост объемов экспорта сырой нефти сопоставим по уровню с ростом совокупного объема национальн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D45B37">
        <w:rPr>
          <w:rFonts w:ascii="Times New Roman" w:hAnsi="Times New Roman"/>
          <w:sz w:val="28"/>
          <w:szCs w:val="28"/>
        </w:rPr>
        <w:t xml:space="preserve"> экспорта.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5B8F" w:rsidRDefault="00E82C42" w:rsidP="0060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0" cy="30765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5B8F" w:rsidRPr="00605B8F" w:rsidRDefault="00605B8F" w:rsidP="00605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B8F">
        <w:rPr>
          <w:rFonts w:ascii="Times New Roman" w:hAnsi="Times New Roman"/>
          <w:sz w:val="24"/>
          <w:szCs w:val="24"/>
        </w:rPr>
        <w:t>Р</w:t>
      </w:r>
      <w:r w:rsidRPr="00605B8F">
        <w:rPr>
          <w:rFonts w:ascii="Times New Roman" w:hAnsi="Times New Roman"/>
          <w:sz w:val="24"/>
          <w:szCs w:val="24"/>
        </w:rPr>
        <w:t>и</w:t>
      </w:r>
      <w:r w:rsidRPr="00605B8F">
        <w:rPr>
          <w:rFonts w:ascii="Times New Roman" w:hAnsi="Times New Roman"/>
          <w:sz w:val="24"/>
          <w:szCs w:val="24"/>
        </w:rPr>
        <w:t xml:space="preserve">сунок 3 – Динамика экспорта нефти в период с 2005 по 2013 годы, млн. тонн, в % к 2005 году (диаграмма рассчитана и составлена автором на основе данных: Нефтяной комплекс // Министерство энергетики Российской Федерации. – </w:t>
      </w:r>
      <w:r w:rsidRPr="00605B8F">
        <w:rPr>
          <w:rFonts w:ascii="Times New Roman" w:hAnsi="Times New Roman"/>
          <w:sz w:val="24"/>
          <w:szCs w:val="24"/>
          <w:lang w:val="en-US"/>
        </w:rPr>
        <w:t>URL</w:t>
      </w:r>
      <w:r w:rsidRPr="00605B8F">
        <w:rPr>
          <w:rFonts w:ascii="Times New Roman" w:hAnsi="Times New Roman"/>
          <w:sz w:val="24"/>
          <w:szCs w:val="24"/>
        </w:rPr>
        <w:t>: http://minenergo.gov.ru/activity/oil/)</w:t>
      </w:r>
    </w:p>
    <w:p w:rsidR="00605B8F" w:rsidRPr="00605B8F" w:rsidRDefault="00605B8F" w:rsidP="00605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05B8F">
        <w:rPr>
          <w:rFonts w:ascii="Times New Roman" w:hAnsi="Times New Roman"/>
          <w:sz w:val="28"/>
          <w:szCs w:val="28"/>
        </w:rPr>
        <w:t xml:space="preserve">нализ экспорта в страны дальнего зарубежья и страны СНГ </w:t>
      </w:r>
      <w:r>
        <w:rPr>
          <w:rFonts w:ascii="Times New Roman" w:hAnsi="Times New Roman"/>
          <w:sz w:val="28"/>
          <w:szCs w:val="28"/>
        </w:rPr>
        <w:t>показывает</w:t>
      </w:r>
      <w:r w:rsidRPr="00605B8F">
        <w:rPr>
          <w:rFonts w:ascii="Times New Roman" w:hAnsi="Times New Roman"/>
          <w:sz w:val="28"/>
          <w:szCs w:val="28"/>
        </w:rPr>
        <w:t>, что темпы роста совокупного экспорта по обоим направления практически идентичны. При этом доля сырой нефти и нефтепродуктов в структуре экспорта в страны дальнего зарубежья существенно выше, нежели доля в структуре экспорта в страны СНГ. Причем, в первом случае она увеличивается, а во втором – сокращается. В то же время в обоих направлениях наблюдается опережающий рост экспорта нефтепродуктов.</w:t>
      </w:r>
    </w:p>
    <w:p w:rsidR="00605B8F" w:rsidRPr="00605B8F" w:rsidRDefault="00605B8F" w:rsidP="00605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8F">
        <w:rPr>
          <w:rFonts w:ascii="Times New Roman" w:hAnsi="Times New Roman"/>
          <w:sz w:val="28"/>
          <w:szCs w:val="28"/>
        </w:rPr>
        <w:t xml:space="preserve">Из диаграммы </w:t>
      </w:r>
      <w:r>
        <w:rPr>
          <w:rFonts w:ascii="Times New Roman" w:hAnsi="Times New Roman"/>
          <w:sz w:val="28"/>
          <w:szCs w:val="28"/>
        </w:rPr>
        <w:t xml:space="preserve">на рисунке 3 </w:t>
      </w:r>
      <w:r w:rsidRPr="00605B8F">
        <w:rPr>
          <w:rFonts w:ascii="Times New Roman" w:hAnsi="Times New Roman"/>
          <w:sz w:val="28"/>
          <w:szCs w:val="28"/>
        </w:rPr>
        <w:t xml:space="preserve">видно, что за рассматриваемый период времени объем экспорта нефти из России в физическом выражении сократился с 251,8 до 235,0 млн. тонн – на 6,7%. При этом анализ показателей позволяет утверждать, что динамика сокращения объемов нефтяного экспорта, выраженного в абсолютных физических показателях,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605B8F">
        <w:rPr>
          <w:rFonts w:ascii="Times New Roman" w:hAnsi="Times New Roman"/>
          <w:sz w:val="28"/>
          <w:szCs w:val="28"/>
        </w:rPr>
        <w:t>устойчива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F31DF" w:rsidRPr="006F31DF" w:rsidRDefault="006F31DF" w:rsidP="006F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увеличился</w:t>
      </w:r>
      <w:r w:rsidRPr="006F31DF">
        <w:rPr>
          <w:rFonts w:ascii="Times New Roman" w:hAnsi="Times New Roman"/>
          <w:sz w:val="28"/>
          <w:szCs w:val="28"/>
        </w:rPr>
        <w:t xml:space="preserve"> объем переработки нефти на 65,9 млн. тонн – с 206,8 до 272,7 млн. тонн, а темп роста объема переработки составил 131,9%</w:t>
      </w:r>
      <w:r>
        <w:rPr>
          <w:rFonts w:ascii="Times New Roman" w:hAnsi="Times New Roman"/>
          <w:sz w:val="28"/>
          <w:szCs w:val="28"/>
        </w:rPr>
        <w:t xml:space="preserve"> (рисунок 4)</w:t>
      </w:r>
      <w:r w:rsidRPr="006F31DF">
        <w:rPr>
          <w:rFonts w:ascii="Times New Roman" w:hAnsi="Times New Roman"/>
          <w:sz w:val="28"/>
          <w:szCs w:val="28"/>
        </w:rPr>
        <w:t>. В результате, в 2013 году объем переработки нефти достиг максимальн</w:t>
      </w:r>
      <w:r w:rsidRPr="006F31DF">
        <w:rPr>
          <w:rFonts w:ascii="Times New Roman" w:hAnsi="Times New Roman"/>
          <w:sz w:val="28"/>
          <w:szCs w:val="28"/>
        </w:rPr>
        <w:t>о</w:t>
      </w:r>
      <w:r w:rsidRPr="006F31DF">
        <w:rPr>
          <w:rFonts w:ascii="Times New Roman" w:hAnsi="Times New Roman"/>
          <w:sz w:val="28"/>
          <w:szCs w:val="28"/>
        </w:rPr>
        <w:t xml:space="preserve">го в постсоветский период уровня. </w:t>
      </w:r>
    </w:p>
    <w:p w:rsidR="006F31DF" w:rsidRDefault="00E82C42" w:rsidP="006F31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0" cy="26670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F31DF" w:rsidRPr="006F31DF">
        <w:rPr>
          <w:rFonts w:ascii="Times New Roman" w:hAnsi="Times New Roman"/>
          <w:sz w:val="24"/>
          <w:szCs w:val="24"/>
        </w:rPr>
        <w:t xml:space="preserve">Рисунок 4. – Динамика переработки нефти в период с 2005 по 2013 годы, млн. тонн, в % к 2005 году (диаграмма рассчитана и составлена автором на основе данных: Нефтяной комплекс // Министерство энергетики Российской Федерации. – </w:t>
      </w:r>
      <w:r w:rsidR="006F31DF" w:rsidRPr="006F31DF">
        <w:rPr>
          <w:rFonts w:ascii="Times New Roman" w:hAnsi="Times New Roman"/>
          <w:sz w:val="24"/>
          <w:szCs w:val="24"/>
          <w:lang w:val="en-US"/>
        </w:rPr>
        <w:t>URL</w:t>
      </w:r>
      <w:r w:rsidR="006F31DF" w:rsidRPr="006F31DF">
        <w:rPr>
          <w:rFonts w:ascii="Times New Roman" w:hAnsi="Times New Roman"/>
          <w:sz w:val="24"/>
          <w:szCs w:val="24"/>
        </w:rPr>
        <w:t>: http://minenergo.gov.ru/activity/oil/)</w:t>
      </w:r>
    </w:p>
    <w:p w:rsidR="006F31DF" w:rsidRPr="006F31DF" w:rsidRDefault="006F31DF" w:rsidP="006F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1DF" w:rsidRDefault="0068776C" w:rsidP="006F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6F31DF" w:rsidRPr="006F31DF">
        <w:rPr>
          <w:rFonts w:ascii="Times New Roman" w:hAnsi="Times New Roman"/>
          <w:sz w:val="28"/>
          <w:szCs w:val="28"/>
        </w:rPr>
        <w:t>арактер динамики изменения показателя свидетельствует о достаточно устойчивом восходящем тренде.</w:t>
      </w:r>
      <w:r w:rsidR="006F31DF">
        <w:rPr>
          <w:rFonts w:ascii="Times New Roman" w:hAnsi="Times New Roman"/>
          <w:sz w:val="28"/>
          <w:szCs w:val="28"/>
        </w:rPr>
        <w:t xml:space="preserve"> В</w:t>
      </w:r>
      <w:r w:rsidR="006F31DF" w:rsidRPr="006F31DF">
        <w:rPr>
          <w:rFonts w:ascii="Times New Roman" w:hAnsi="Times New Roman"/>
          <w:sz w:val="28"/>
          <w:szCs w:val="28"/>
        </w:rPr>
        <w:t xml:space="preserve"> целом </w:t>
      </w:r>
      <w:r w:rsidR="006F31DF">
        <w:rPr>
          <w:rFonts w:ascii="Times New Roman" w:hAnsi="Times New Roman"/>
          <w:sz w:val="28"/>
          <w:szCs w:val="28"/>
        </w:rPr>
        <w:t>надо</w:t>
      </w:r>
      <w:r w:rsidR="006F31DF" w:rsidRPr="006F31DF">
        <w:rPr>
          <w:rFonts w:ascii="Times New Roman" w:hAnsi="Times New Roman"/>
          <w:sz w:val="28"/>
          <w:szCs w:val="28"/>
        </w:rPr>
        <w:t xml:space="preserve"> отметить, что в последние годы в России наблюдаются устойчивые темпы увеличения объемов добычи и производства нефти и нефтепродуктов при столь же устойчивом сокращении экспорта, что является следствием увеличения внутреннего потребления данного вида топливно-энергетических ресурсов. </w:t>
      </w:r>
      <w:r>
        <w:rPr>
          <w:rFonts w:ascii="Times New Roman" w:hAnsi="Times New Roman"/>
          <w:sz w:val="28"/>
          <w:szCs w:val="28"/>
        </w:rPr>
        <w:t>Кроме того</w:t>
      </w:r>
      <w:r w:rsidR="006F31DF" w:rsidRPr="006F31DF">
        <w:rPr>
          <w:rFonts w:ascii="Times New Roman" w:hAnsi="Times New Roman"/>
          <w:sz w:val="28"/>
          <w:szCs w:val="28"/>
        </w:rPr>
        <w:t>, данное увеличение не сопровождается существенными изменениями в уровне глубины переработки, даже несмотря на положительные процессы в области моторного топлива.</w:t>
      </w:r>
      <w:r w:rsidR="006F31DF">
        <w:rPr>
          <w:rFonts w:ascii="Times New Roman" w:hAnsi="Times New Roman"/>
          <w:sz w:val="28"/>
          <w:szCs w:val="28"/>
        </w:rPr>
        <w:t xml:space="preserve"> </w:t>
      </w:r>
    </w:p>
    <w:p w:rsidR="006876D6" w:rsidRPr="006876D6" w:rsidRDefault="0068776C" w:rsidP="0068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76D6" w:rsidRPr="006876D6">
        <w:rPr>
          <w:rFonts w:ascii="Times New Roman" w:hAnsi="Times New Roman"/>
          <w:sz w:val="28"/>
          <w:szCs w:val="28"/>
        </w:rPr>
        <w:t xml:space="preserve"> 2013 году Россия среди </w:t>
      </w:r>
      <w:r>
        <w:rPr>
          <w:rFonts w:ascii="Times New Roman" w:hAnsi="Times New Roman"/>
          <w:sz w:val="28"/>
          <w:szCs w:val="28"/>
        </w:rPr>
        <w:t>десятки</w:t>
      </w:r>
      <w:r w:rsidR="006876D6" w:rsidRPr="006876D6">
        <w:rPr>
          <w:rFonts w:ascii="Times New Roman" w:hAnsi="Times New Roman"/>
          <w:sz w:val="28"/>
          <w:szCs w:val="28"/>
        </w:rPr>
        <w:t xml:space="preserve"> стран-лидеров по размеру ВВП наход</w:t>
      </w:r>
      <w:r w:rsidR="006876D6" w:rsidRPr="006876D6">
        <w:rPr>
          <w:rFonts w:ascii="Times New Roman" w:hAnsi="Times New Roman"/>
          <w:sz w:val="28"/>
          <w:szCs w:val="28"/>
        </w:rPr>
        <w:t>и</w:t>
      </w:r>
      <w:r w:rsidR="006876D6" w:rsidRPr="006876D6">
        <w:rPr>
          <w:rFonts w:ascii="Times New Roman" w:hAnsi="Times New Roman"/>
          <w:sz w:val="28"/>
          <w:szCs w:val="28"/>
        </w:rPr>
        <w:t xml:space="preserve">лась на </w:t>
      </w:r>
      <w:r w:rsidR="00765696">
        <w:rPr>
          <w:rFonts w:ascii="Times New Roman" w:hAnsi="Times New Roman"/>
          <w:sz w:val="28"/>
          <w:szCs w:val="28"/>
        </w:rPr>
        <w:t>восьмом</w:t>
      </w:r>
      <w:r w:rsidR="006876D6" w:rsidRPr="006876D6">
        <w:rPr>
          <w:rFonts w:ascii="Times New Roman" w:hAnsi="Times New Roman"/>
          <w:sz w:val="28"/>
          <w:szCs w:val="28"/>
        </w:rPr>
        <w:t xml:space="preserve"> месте по размеру произведенного ВВП, и на последнем – </w:t>
      </w:r>
      <w:r w:rsidR="00765696">
        <w:rPr>
          <w:rFonts w:ascii="Times New Roman" w:hAnsi="Times New Roman"/>
          <w:sz w:val="28"/>
          <w:szCs w:val="28"/>
        </w:rPr>
        <w:t>десятом</w:t>
      </w:r>
      <w:r w:rsidR="006876D6" w:rsidRPr="006876D6">
        <w:rPr>
          <w:rFonts w:ascii="Times New Roman" w:hAnsi="Times New Roman"/>
          <w:sz w:val="28"/>
          <w:szCs w:val="28"/>
        </w:rPr>
        <w:t xml:space="preserve"> – месте по показателю энергоэффективности ВВП.</w:t>
      </w:r>
      <w:r w:rsidR="00765696">
        <w:rPr>
          <w:rFonts w:ascii="Times New Roman" w:hAnsi="Times New Roman"/>
          <w:sz w:val="28"/>
          <w:szCs w:val="28"/>
        </w:rPr>
        <w:t xml:space="preserve"> </w:t>
      </w:r>
    </w:p>
    <w:p w:rsidR="006876D6" w:rsidRDefault="00E82C42" w:rsidP="00687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0" cy="2409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76D6" w:rsidRPr="006876D6" w:rsidRDefault="006876D6" w:rsidP="00687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6D6">
        <w:rPr>
          <w:rFonts w:ascii="Times New Roman" w:hAnsi="Times New Roman"/>
          <w:sz w:val="24"/>
          <w:szCs w:val="24"/>
        </w:rPr>
        <w:t>Р</w:t>
      </w:r>
      <w:r w:rsidRPr="006876D6">
        <w:rPr>
          <w:rFonts w:ascii="Times New Roman" w:hAnsi="Times New Roman"/>
          <w:sz w:val="24"/>
          <w:szCs w:val="24"/>
        </w:rPr>
        <w:t>и</w:t>
      </w:r>
      <w:r w:rsidRPr="006876D6">
        <w:rPr>
          <w:rFonts w:ascii="Times New Roman" w:hAnsi="Times New Roman"/>
          <w:sz w:val="24"/>
          <w:szCs w:val="24"/>
        </w:rPr>
        <w:t>сунок 5. – Отношение энергоемкости ВВП России к энергоемкости ВВП стран-лидеров по размеру ВВП в 2013 году (диаграмма рассчитана и составлена автором на основе данных: Интенсивность использования энергии на единицу ВВП при постоянном паритете покупательной способности (ППП) // Статистический Ежегодник мировой энергетики 2014. – URL: https://yearbook.enerdata.ru/energy-intensity-GDP-by-region.html#energy-intensity-GDP-by-region.html)</w:t>
      </w:r>
    </w:p>
    <w:p w:rsidR="006876D6" w:rsidRPr="006876D6" w:rsidRDefault="006876D6" w:rsidP="006876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6C6" w:rsidRPr="005526C6" w:rsidRDefault="006876D6" w:rsidP="0068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6D6">
        <w:rPr>
          <w:rFonts w:ascii="Times New Roman" w:hAnsi="Times New Roman"/>
          <w:sz w:val="28"/>
          <w:szCs w:val="28"/>
        </w:rPr>
        <w:t xml:space="preserve">Более подробно информация об отставании России по показателю энергоемкости ВВП от 10-ки стран-лидеров по размеру ВВП в 2013 году представлена на диаграмме на рисунке </w:t>
      </w:r>
      <w:r>
        <w:rPr>
          <w:rFonts w:ascii="Times New Roman" w:hAnsi="Times New Roman"/>
          <w:sz w:val="28"/>
          <w:szCs w:val="28"/>
        </w:rPr>
        <w:t>5</w:t>
      </w:r>
      <w:r w:rsidRPr="00687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76D6" w:rsidRDefault="00765696" w:rsidP="0068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основании</w:t>
      </w:r>
      <w:r w:rsidR="006876D6" w:rsidRPr="006876D6">
        <w:rPr>
          <w:rFonts w:ascii="Times New Roman" w:hAnsi="Times New Roman"/>
          <w:sz w:val="28"/>
          <w:szCs w:val="28"/>
        </w:rPr>
        <w:t xml:space="preserve"> можно сделать вывод о том, что в сложившихся условиях ключ</w:t>
      </w:r>
      <w:r w:rsidR="006876D6" w:rsidRPr="006876D6">
        <w:rPr>
          <w:rFonts w:ascii="Times New Roman" w:hAnsi="Times New Roman"/>
          <w:sz w:val="28"/>
          <w:szCs w:val="28"/>
        </w:rPr>
        <w:t>е</w:t>
      </w:r>
      <w:r w:rsidR="006876D6" w:rsidRPr="006876D6">
        <w:rPr>
          <w:rFonts w:ascii="Times New Roman" w:hAnsi="Times New Roman"/>
          <w:sz w:val="28"/>
          <w:szCs w:val="28"/>
        </w:rPr>
        <w:t>вым фактором модернизации отечественной экономики в целом и отечественной промышленности в частности должен стать фактор повышения энергоэффе</w:t>
      </w:r>
      <w:r w:rsidR="006876D6" w:rsidRPr="006876D6">
        <w:rPr>
          <w:rFonts w:ascii="Times New Roman" w:hAnsi="Times New Roman"/>
          <w:sz w:val="28"/>
          <w:szCs w:val="28"/>
        </w:rPr>
        <w:t>к</w:t>
      </w:r>
      <w:r w:rsidR="006876D6" w:rsidRPr="006876D6">
        <w:rPr>
          <w:rFonts w:ascii="Times New Roman" w:hAnsi="Times New Roman"/>
          <w:sz w:val="28"/>
          <w:szCs w:val="28"/>
        </w:rPr>
        <w:t xml:space="preserve">тивности производств. Именно данный фактор, на наш взгляд, обладает высоким потенциалом решения обозначенной задачи. </w:t>
      </w:r>
      <w:r w:rsidR="007277C5">
        <w:rPr>
          <w:rFonts w:ascii="Times New Roman" w:hAnsi="Times New Roman"/>
          <w:sz w:val="28"/>
          <w:szCs w:val="28"/>
        </w:rPr>
        <w:t>Н</w:t>
      </w:r>
      <w:r w:rsidR="006876D6" w:rsidRPr="006876D6">
        <w:rPr>
          <w:rFonts w:ascii="Times New Roman" w:hAnsi="Times New Roman"/>
          <w:sz w:val="28"/>
          <w:szCs w:val="28"/>
        </w:rPr>
        <w:t>а существов</w:t>
      </w:r>
      <w:r w:rsidR="006876D6" w:rsidRPr="006876D6">
        <w:rPr>
          <w:rFonts w:ascii="Times New Roman" w:hAnsi="Times New Roman"/>
          <w:sz w:val="28"/>
          <w:szCs w:val="28"/>
        </w:rPr>
        <w:t>а</w:t>
      </w:r>
      <w:r w:rsidR="006876D6" w:rsidRPr="006876D6">
        <w:rPr>
          <w:rFonts w:ascii="Times New Roman" w:hAnsi="Times New Roman"/>
          <w:sz w:val="28"/>
          <w:szCs w:val="28"/>
        </w:rPr>
        <w:t xml:space="preserve">ние объективной возможности данного сценария указывают </w:t>
      </w:r>
      <w:r w:rsidR="007277C5">
        <w:rPr>
          <w:rFonts w:ascii="Times New Roman" w:hAnsi="Times New Roman"/>
          <w:sz w:val="28"/>
          <w:szCs w:val="28"/>
        </w:rPr>
        <w:t xml:space="preserve">и </w:t>
      </w:r>
      <w:r w:rsidR="006876D6" w:rsidRPr="006876D6">
        <w:rPr>
          <w:rFonts w:ascii="Times New Roman" w:hAnsi="Times New Roman"/>
          <w:sz w:val="28"/>
          <w:szCs w:val="28"/>
        </w:rPr>
        <w:t>высокие темпы снижения энергоемкости отечественной экономики.</w:t>
      </w:r>
      <w:r w:rsidR="007277C5">
        <w:rPr>
          <w:rFonts w:ascii="Times New Roman" w:hAnsi="Times New Roman"/>
          <w:sz w:val="28"/>
          <w:szCs w:val="28"/>
        </w:rPr>
        <w:t xml:space="preserve"> Кроме того, </w:t>
      </w:r>
      <w:r w:rsidR="007277C5" w:rsidRPr="007277C5">
        <w:rPr>
          <w:rFonts w:ascii="Times New Roman" w:hAnsi="Times New Roman"/>
          <w:sz w:val="28"/>
          <w:szCs w:val="28"/>
        </w:rPr>
        <w:t xml:space="preserve">в промышленном секторе отечественной экономики </w:t>
      </w:r>
      <w:r w:rsidR="00944F88">
        <w:rPr>
          <w:rFonts w:ascii="Times New Roman" w:hAnsi="Times New Roman"/>
          <w:sz w:val="28"/>
          <w:szCs w:val="28"/>
        </w:rPr>
        <w:t>существует один</w:t>
      </w:r>
      <w:r w:rsidR="007277C5" w:rsidRPr="007277C5">
        <w:rPr>
          <w:rFonts w:ascii="Times New Roman" w:hAnsi="Times New Roman"/>
          <w:sz w:val="28"/>
          <w:szCs w:val="28"/>
        </w:rPr>
        <w:t xml:space="preserve"> из самых высоких уровней энергоемкости производства валовой добавленной стоимости.</w:t>
      </w:r>
      <w:r w:rsidR="00944F88">
        <w:rPr>
          <w:rFonts w:ascii="Times New Roman" w:hAnsi="Times New Roman"/>
          <w:sz w:val="28"/>
          <w:szCs w:val="28"/>
        </w:rPr>
        <w:t xml:space="preserve"> </w:t>
      </w:r>
    </w:p>
    <w:p w:rsidR="00FA268F" w:rsidRDefault="00FA268F" w:rsidP="00FA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</w:t>
      </w:r>
      <w:r w:rsidRPr="00FA268F">
        <w:rPr>
          <w:rFonts w:ascii="Times New Roman" w:hAnsi="Times New Roman"/>
          <w:sz w:val="28"/>
          <w:szCs w:val="28"/>
        </w:rPr>
        <w:t>в период с 2004 по 2013 годы в сфере добычи полезных иск</w:t>
      </w:r>
      <w:r w:rsidRPr="00FA268F">
        <w:rPr>
          <w:rFonts w:ascii="Times New Roman" w:hAnsi="Times New Roman"/>
          <w:sz w:val="28"/>
          <w:szCs w:val="28"/>
        </w:rPr>
        <w:t>о</w:t>
      </w:r>
      <w:r w:rsidRPr="00FA268F">
        <w:rPr>
          <w:rFonts w:ascii="Times New Roman" w:hAnsi="Times New Roman"/>
          <w:sz w:val="28"/>
          <w:szCs w:val="28"/>
        </w:rPr>
        <w:t>паемых объем введенных в действие основных фондов увеличился на 85,8%. А в сфере обрабатывающих производств – на 106,2%. В тоже время в среднем по экономике объем введенных основных фондов за рассматриваемый период времени увеличился на 131,7%. Причем, в сельском хозяйстве и строительстве объем введенных в действие основных фондов увеличился в среднем чуть более чем на 100%. А в сфере транспорта и связи – практически в три раза</w:t>
      </w:r>
      <w:r>
        <w:rPr>
          <w:rFonts w:ascii="Times New Roman" w:hAnsi="Times New Roman"/>
          <w:sz w:val="28"/>
          <w:szCs w:val="28"/>
        </w:rPr>
        <w:t xml:space="preserve"> (рисунок 6)</w:t>
      </w:r>
      <w:r w:rsidRPr="00FA268F">
        <w:rPr>
          <w:rFonts w:ascii="Times New Roman" w:hAnsi="Times New Roman"/>
          <w:sz w:val="28"/>
          <w:szCs w:val="28"/>
        </w:rPr>
        <w:t>.</w:t>
      </w:r>
    </w:p>
    <w:p w:rsidR="00FA268F" w:rsidRPr="00FA268F" w:rsidRDefault="00FA268F" w:rsidP="00FA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7C5" w:rsidRPr="00FA268F" w:rsidRDefault="00E82C42" w:rsidP="00FA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33909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277C5" w:rsidRPr="00FA268F">
        <w:rPr>
          <w:rFonts w:ascii="Times New Roman" w:hAnsi="Times New Roman"/>
          <w:sz w:val="24"/>
          <w:szCs w:val="24"/>
        </w:rPr>
        <w:t>Р</w:t>
      </w:r>
      <w:r w:rsidR="007277C5" w:rsidRPr="00FA268F">
        <w:rPr>
          <w:rFonts w:ascii="Times New Roman" w:hAnsi="Times New Roman"/>
          <w:sz w:val="24"/>
          <w:szCs w:val="24"/>
        </w:rPr>
        <w:t>и</w:t>
      </w:r>
      <w:r w:rsidR="007277C5" w:rsidRPr="00FA268F">
        <w:rPr>
          <w:rFonts w:ascii="Times New Roman" w:hAnsi="Times New Roman"/>
          <w:sz w:val="24"/>
          <w:szCs w:val="24"/>
        </w:rPr>
        <w:t xml:space="preserve">сунок </w:t>
      </w:r>
      <w:r w:rsidR="00FA268F">
        <w:rPr>
          <w:rFonts w:ascii="Times New Roman" w:hAnsi="Times New Roman"/>
          <w:sz w:val="24"/>
          <w:szCs w:val="24"/>
        </w:rPr>
        <w:t>6</w:t>
      </w:r>
      <w:r w:rsidR="007277C5" w:rsidRPr="00FA268F">
        <w:rPr>
          <w:rFonts w:ascii="Times New Roman" w:hAnsi="Times New Roman"/>
          <w:sz w:val="24"/>
          <w:szCs w:val="24"/>
        </w:rPr>
        <w:t>. – Ввод в действие основных фондов по видам экономической деятельности (графики рассчитаны и построены автором на основе данных: Основные фонды // Федеральная служба государственной статистики. – URL: http://www.gks.ru/free_doc/new_site/business/osnfond/VV_ved.xls)</w:t>
      </w:r>
    </w:p>
    <w:p w:rsidR="00FA268F" w:rsidRPr="00FA268F" w:rsidRDefault="00FA268F" w:rsidP="0072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268F" w:rsidRDefault="00FA268F" w:rsidP="00727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7C5">
        <w:rPr>
          <w:rFonts w:ascii="Times New Roman" w:hAnsi="Times New Roman"/>
          <w:sz w:val="28"/>
          <w:szCs w:val="28"/>
        </w:rPr>
        <w:t>Из этого следует, что процесс обновления основных фондов в сфере добывающих и обрабатывающих производств проходит медленнее, чем в среднем по экономике.</w:t>
      </w:r>
    </w:p>
    <w:p w:rsidR="007277C5" w:rsidRPr="002671B6" w:rsidRDefault="00E82C42" w:rsidP="0026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5050" cy="25812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277C5" w:rsidRPr="002671B6">
        <w:rPr>
          <w:rFonts w:ascii="Times New Roman" w:hAnsi="Times New Roman"/>
          <w:sz w:val="24"/>
          <w:szCs w:val="24"/>
        </w:rPr>
        <w:t xml:space="preserve">Рисунок </w:t>
      </w:r>
      <w:r w:rsidR="002671B6" w:rsidRPr="002671B6">
        <w:rPr>
          <w:rFonts w:ascii="Times New Roman" w:hAnsi="Times New Roman"/>
          <w:sz w:val="24"/>
          <w:szCs w:val="24"/>
        </w:rPr>
        <w:t>7</w:t>
      </w:r>
      <w:r w:rsidR="007277C5" w:rsidRPr="002671B6">
        <w:rPr>
          <w:rFonts w:ascii="Times New Roman" w:hAnsi="Times New Roman"/>
          <w:sz w:val="24"/>
          <w:szCs w:val="24"/>
        </w:rPr>
        <w:t>. – Динамика инвестиций в основной капитал по видам экономич</w:t>
      </w:r>
      <w:r w:rsidR="007277C5" w:rsidRPr="002671B6">
        <w:rPr>
          <w:rFonts w:ascii="Times New Roman" w:hAnsi="Times New Roman"/>
          <w:sz w:val="24"/>
          <w:szCs w:val="24"/>
        </w:rPr>
        <w:t>е</w:t>
      </w:r>
      <w:r w:rsidR="007277C5" w:rsidRPr="002671B6">
        <w:rPr>
          <w:rFonts w:ascii="Times New Roman" w:hAnsi="Times New Roman"/>
          <w:sz w:val="24"/>
          <w:szCs w:val="24"/>
        </w:rPr>
        <w:t>ской деятельности (графики рассчитаны и построены автором на основе данных: Основные фонды // Федеральная служба государственной статистики. – URL: http://www.gks.ru/free_doc/new_site/business/invest/Din-invOKVED.xls)</w:t>
      </w:r>
    </w:p>
    <w:p w:rsidR="002671B6" w:rsidRPr="002671B6" w:rsidRDefault="002671B6" w:rsidP="0072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1B6" w:rsidRDefault="002671B6" w:rsidP="002671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7C5">
        <w:rPr>
          <w:rFonts w:ascii="Times New Roman" w:hAnsi="Times New Roman"/>
          <w:sz w:val="28"/>
          <w:szCs w:val="28"/>
        </w:rPr>
        <w:t xml:space="preserve">В целом отмеченные тенденции опосредованы проистекающими в экономике инвестиционными процессами. На рисунке </w:t>
      </w:r>
      <w:r>
        <w:rPr>
          <w:rFonts w:ascii="Times New Roman" w:hAnsi="Times New Roman"/>
          <w:sz w:val="28"/>
          <w:szCs w:val="28"/>
        </w:rPr>
        <w:t>7</w:t>
      </w:r>
      <w:r w:rsidRPr="007277C5">
        <w:rPr>
          <w:rFonts w:ascii="Times New Roman" w:hAnsi="Times New Roman"/>
          <w:sz w:val="28"/>
          <w:szCs w:val="28"/>
        </w:rPr>
        <w:t xml:space="preserve"> представлены графики, иллюстрирующие динамику инвестиций в основной капитал по видам экономической деятельности. Из графиков видно, что в среднем по экономике за рассматриваемый период времени объем инвестиций, осуществленных в основной капитал, увеличился на 191,1%. В то время как в сферах добычи полезных ископаемых и обрабатывающих производств объем инвестиций, осуществленных в основной капитал, за</w:t>
      </w:r>
      <w:r w:rsidRPr="002671B6">
        <w:rPr>
          <w:rFonts w:ascii="Times New Roman" w:hAnsi="Times New Roman"/>
          <w:sz w:val="28"/>
          <w:szCs w:val="28"/>
        </w:rPr>
        <w:t xml:space="preserve"> </w:t>
      </w:r>
      <w:r w:rsidRPr="007277C5">
        <w:rPr>
          <w:rFonts w:ascii="Times New Roman" w:hAnsi="Times New Roman"/>
          <w:sz w:val="28"/>
          <w:szCs w:val="28"/>
        </w:rPr>
        <w:t>рассматриваемый период времени увеличился в среднем на – 76-77%.</w:t>
      </w:r>
    </w:p>
    <w:p w:rsidR="007277C5" w:rsidRDefault="007277C5" w:rsidP="00727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7C5">
        <w:rPr>
          <w:rFonts w:ascii="Times New Roman" w:hAnsi="Times New Roman"/>
          <w:sz w:val="28"/>
          <w:szCs w:val="28"/>
        </w:rPr>
        <w:t>Таким образом, подводя итог проведенного исследования можно по</w:t>
      </w:r>
      <w:r w:rsidRPr="007277C5">
        <w:rPr>
          <w:rFonts w:ascii="Times New Roman" w:hAnsi="Times New Roman"/>
          <w:sz w:val="28"/>
          <w:szCs w:val="28"/>
        </w:rPr>
        <w:t>д</w:t>
      </w:r>
      <w:r w:rsidRPr="007277C5">
        <w:rPr>
          <w:rFonts w:ascii="Times New Roman" w:hAnsi="Times New Roman"/>
          <w:sz w:val="28"/>
          <w:szCs w:val="28"/>
        </w:rPr>
        <w:t>твердить высокую актуальность задачи снижения энергоемкости производс</w:t>
      </w:r>
      <w:r w:rsidRPr="007277C5">
        <w:rPr>
          <w:rFonts w:ascii="Times New Roman" w:hAnsi="Times New Roman"/>
          <w:sz w:val="28"/>
          <w:szCs w:val="28"/>
        </w:rPr>
        <w:t>т</w:t>
      </w:r>
      <w:r w:rsidRPr="007277C5">
        <w:rPr>
          <w:rFonts w:ascii="Times New Roman" w:hAnsi="Times New Roman"/>
          <w:sz w:val="28"/>
          <w:szCs w:val="28"/>
        </w:rPr>
        <w:t>венной деятельности для проведения успешной неоиндустриализации экономики России. При этом, анализ показал, что основным потребителем энергоресурсов, а также основным местом сосредоточения энергоемких производств в отечественной экономике является промышленных сектор. Во многом ситуация усугубляется объективными факторами – высоким уровнем износа основных фондов и их медленным обновлением, опосредованным спецификой инвестиционных процессов.</w:t>
      </w:r>
    </w:p>
    <w:p w:rsidR="0016004D" w:rsidRDefault="0016004D" w:rsidP="00727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вышеуказанных задач могут эффективно способствовать механизмы формирования</w:t>
      </w:r>
      <w:r w:rsidRPr="0072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тия </w:t>
      </w:r>
      <w:r w:rsidRPr="007249E6">
        <w:rPr>
          <w:rFonts w:ascii="Times New Roman" w:hAnsi="Times New Roman"/>
          <w:sz w:val="28"/>
          <w:szCs w:val="28"/>
        </w:rPr>
        <w:t>энергосервисных кластеров</w:t>
      </w:r>
      <w:r>
        <w:rPr>
          <w:rFonts w:ascii="Times New Roman" w:hAnsi="Times New Roman"/>
          <w:sz w:val="28"/>
          <w:szCs w:val="28"/>
        </w:rPr>
        <w:t xml:space="preserve"> (рисунок 8) и </w:t>
      </w:r>
      <w:r w:rsidRPr="00A96C1D">
        <w:rPr>
          <w:rFonts w:ascii="Times New Roman" w:hAnsi="Times New Roman"/>
          <w:sz w:val="28"/>
          <w:szCs w:val="28"/>
        </w:rPr>
        <w:t>государственно-частного 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C1D">
        <w:rPr>
          <w:rFonts w:ascii="Times New Roman" w:hAnsi="Times New Roman"/>
          <w:sz w:val="28"/>
          <w:szCs w:val="28"/>
        </w:rPr>
        <w:t>для по</w:t>
      </w:r>
      <w:r w:rsidRPr="00A96C1D">
        <w:rPr>
          <w:rFonts w:ascii="Times New Roman" w:hAnsi="Times New Roman"/>
          <w:sz w:val="28"/>
          <w:szCs w:val="28"/>
        </w:rPr>
        <w:t>д</w:t>
      </w:r>
      <w:r w:rsidRPr="00A96C1D">
        <w:rPr>
          <w:rFonts w:ascii="Times New Roman" w:hAnsi="Times New Roman"/>
          <w:sz w:val="28"/>
          <w:szCs w:val="28"/>
        </w:rPr>
        <w:t>держки развития института энергосервисных контрактов</w:t>
      </w:r>
      <w:r>
        <w:rPr>
          <w:rFonts w:ascii="Times New Roman" w:hAnsi="Times New Roman"/>
          <w:sz w:val="28"/>
          <w:szCs w:val="28"/>
        </w:rPr>
        <w:t xml:space="preserve"> (рисунок 9). </w:t>
      </w:r>
    </w:p>
    <w:p w:rsidR="00341F2B" w:rsidRDefault="00341F2B" w:rsidP="00727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C1">
        <w:rPr>
          <w:rFonts w:ascii="Times New Roman" w:hAnsi="Times New Roman"/>
          <w:sz w:val="28"/>
          <w:szCs w:val="28"/>
        </w:rPr>
        <w:pict>
          <v:group id="_x0000_s2404" style="position:absolute;left:0;text-align:left;margin-left:-7.95pt;margin-top:7.2pt;width:514.5pt;height:342.9pt;z-index:251656192" coordorigin="2265,1515" coordsize="8400,7239">
            <v:rect id="_x0000_s2405" style="position:absolute;left:2265;top:1515;width:8400;height:7239" strokeweight="2pt">
              <v:stroke dashstyle="1 1"/>
              <v:textbox style="mso-next-textbox:#_x0000_s2405">
                <w:txbxContent>
                  <w:p w:rsidR="004F74C1" w:rsidRPr="009B0FEB" w:rsidRDefault="004F74C1" w:rsidP="004F74C1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Энергосервисный кластер</w:t>
                    </w:r>
                  </w:p>
                </w:txbxContent>
              </v:textbox>
            </v:rect>
            <v:group id="_x0000_s2406" style="position:absolute;left:2405;top:2277;width:7980;height:6096" coordorigin="2405,1896" coordsize="7980,6096">
              <v:group id="_x0000_s2407" style="position:absolute;left:7025;top:2658;width:3360;height:5334" coordorigin="7025,4182" coordsize="3360,5334">
                <v:rect id="_x0000_s2408" style="position:absolute;left:7025;top:4182;width:3360;height:762">
                  <v:textbox style="mso-next-textbox:#_x0000_s2408">
                    <w:txbxContent>
                      <w:p w:rsidR="004F74C1" w:rsidRPr="009B0FEB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0FEB">
                          <w:rPr>
                            <w:sz w:val="24"/>
                            <w:szCs w:val="24"/>
                          </w:rPr>
                          <w:t>Научно-исследовательские организации</w:t>
                        </w:r>
                      </w:p>
                    </w:txbxContent>
                  </v:textbox>
                </v:rect>
                <v:rect id="_x0000_s2409" style="position:absolute;left:7025;top:4944;width:3360;height:762">
                  <v:textbox style="mso-next-textbox:#_x0000_s2409">
                    <w:txbxContent>
                      <w:p w:rsidR="004F74C1" w:rsidRPr="009B0FEB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0FEB">
                          <w:rPr>
                            <w:sz w:val="24"/>
                            <w:szCs w:val="24"/>
                          </w:rPr>
                          <w:t>Учреждения по подготовке кадров</w:t>
                        </w:r>
                      </w:p>
                    </w:txbxContent>
                  </v:textbox>
                </v:rect>
                <v:rect id="_x0000_s2410" style="position:absolute;left:7025;top:5706;width:3360;height:762">
                  <v:textbox style="mso-next-textbox:#_x0000_s2410">
                    <w:txbxContent>
                      <w:p w:rsidR="004F74C1" w:rsidRPr="00341F2B" w:rsidRDefault="004F74C1" w:rsidP="00341F2B">
                        <w:pPr>
                          <w:spacing w:line="240" w:lineRule="auto"/>
                          <w:ind w:left="-284" w:right="-159" w:firstLine="28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1F2B">
                          <w:rPr>
                            <w:sz w:val="18"/>
                            <w:szCs w:val="18"/>
                          </w:rPr>
                          <w:t>Производители и поставщики энергоэффективного оборудования и производстве</w:t>
                        </w:r>
                        <w:r w:rsidRPr="00341F2B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341F2B">
                          <w:rPr>
                            <w:sz w:val="18"/>
                            <w:szCs w:val="18"/>
                          </w:rPr>
                          <w:t>ных технологий</w:t>
                        </w:r>
                      </w:p>
                    </w:txbxContent>
                  </v:textbox>
                </v:rect>
                <v:rect id="_x0000_s2411" style="position:absolute;left:7025;top:6468;width:3360;height:762">
                  <v:textbox style="mso-next-textbox:#_x0000_s2411">
                    <w:txbxContent>
                      <w:p w:rsidR="004F74C1" w:rsidRPr="009B0FEB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0FEB">
                          <w:rPr>
                            <w:sz w:val="24"/>
                            <w:szCs w:val="24"/>
                          </w:rPr>
                          <w:t>Ремонтно-монтажные организации</w:t>
                        </w:r>
                      </w:p>
                    </w:txbxContent>
                  </v:textbox>
                </v:rect>
                <v:rect id="_x0000_s2412" style="position:absolute;left:7025;top:7230;width:3360;height:762">
                  <v:textbox style="mso-next-textbox:#_x0000_s2412">
                    <w:txbxContent>
                      <w:p w:rsidR="004F74C1" w:rsidRPr="00867752" w:rsidRDefault="004F74C1" w:rsidP="004F74C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7752">
                          <w:rPr>
                            <w:sz w:val="20"/>
                            <w:szCs w:val="20"/>
                          </w:rPr>
                          <w:t>Представительства компетентных учреждений государственной власти</w:t>
                        </w:r>
                      </w:p>
                    </w:txbxContent>
                  </v:textbox>
                </v:rect>
                <v:rect id="_x0000_s2413" style="position:absolute;left:7025;top:7992;width:3360;height:762">
                  <v:textbox style="mso-next-textbox:#_x0000_s2413">
                    <w:txbxContent>
                      <w:p w:rsidR="004F74C1" w:rsidRPr="009B0FEB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0FEB">
                          <w:rPr>
                            <w:sz w:val="24"/>
                            <w:szCs w:val="24"/>
                          </w:rPr>
                          <w:t>Финансовые организации (кредиторы и инвесторы)</w:t>
                        </w:r>
                      </w:p>
                    </w:txbxContent>
                  </v:textbox>
                </v:rect>
                <v:rect id="_x0000_s2414" style="position:absolute;left:7025;top:8754;width:3360;height:762">
                  <v:textbox style="mso-next-textbox:#_x0000_s2414">
                    <w:txbxContent>
                      <w:p w:rsidR="004F74C1" w:rsidRPr="009B0FEB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0FEB">
                          <w:rPr>
                            <w:sz w:val="24"/>
                            <w:szCs w:val="24"/>
                          </w:rPr>
                          <w:t>Организации, формирующие инфраструктуру кластера</w:t>
                        </w:r>
                      </w:p>
                    </w:txbxContent>
                  </v:textbox>
                </v:rect>
              </v:group>
              <v:group id="_x0000_s2415" style="position:absolute;left:5765;top:3039;width:1260;height:4572" coordorigin="5765,3039" coordsize="1260,457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416" type="#_x0000_t32" style="position:absolute;left:6465;top:3039;width:0;height:4572" o:connectortype="straight" strokeweight="1.5pt"/>
                <v:shape id="_x0000_s2417" type="#_x0000_t32" style="position:absolute;left:5765;top:5325;width:700;height:0;flip:x" o:connectortype="straight" strokeweight="1.5pt">
                  <v:stroke endarrow="block"/>
                </v:shape>
                <v:shape id="_x0000_s2418" type="#_x0000_t32" style="position:absolute;left:6465;top:3039;width:560;height:0" o:connectortype="straight" strokeweight="1.5pt">
                  <v:stroke endarrow="block"/>
                </v:shape>
                <v:shape id="_x0000_s2419" type="#_x0000_t32" style="position:absolute;left:6465;top:3801;width:560;height:0" o:connectortype="straight" strokeweight="1.5pt">
                  <v:stroke endarrow="block"/>
                </v:shape>
                <v:shape id="_x0000_s2420" type="#_x0000_t32" style="position:absolute;left:6465;top:4563;width:560;height:0" o:connectortype="straight" strokeweight="1.5pt">
                  <v:stroke endarrow="block"/>
                </v:shape>
                <v:shape id="_x0000_s2421" type="#_x0000_t32" style="position:absolute;left:6465;top:5325;width:560;height:0" o:connectortype="straight" strokeweight="1.5pt">
                  <v:stroke endarrow="block"/>
                </v:shape>
                <v:shape id="_x0000_s2422" type="#_x0000_t32" style="position:absolute;left:6465;top:6087;width:560;height:0" o:connectortype="straight" strokeweight="1.5pt">
                  <v:stroke endarrow="block"/>
                </v:shape>
                <v:shape id="_x0000_s2423" type="#_x0000_t32" style="position:absolute;left:6465;top:6849;width:560;height:0" o:connectortype="straight" strokeweight="1.5pt">
                  <v:stroke endarrow="block"/>
                </v:shape>
                <v:shape id="_x0000_s2424" type="#_x0000_t32" style="position:absolute;left:6465;top:7611;width:560;height:0" o:connectortype="straight" strokeweight="1.5pt">
                  <v:stroke endarrow="block"/>
                </v:shape>
              </v:group>
              <v:group id="_x0000_s2425" style="position:absolute;left:2405;top:1896;width:7980;height:4107" coordorigin="2405,1896" coordsize="7980,4107">
                <v:oval id="_x0000_s2426" style="position:absolute;left:2405;top:4563;width:3360;height:1440" strokeweight="1.5pt">
                  <v:textbox style="mso-next-textbox:#_x0000_s2426">
                    <w:txbxContent>
                      <w:p w:rsidR="004F74C1" w:rsidRPr="005E7CD8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Ядро кластера – энергосервисные компании</w:t>
                        </w:r>
                      </w:p>
                    </w:txbxContent>
                  </v:textbox>
                </v:oval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427" type="#_x0000_t8" style="position:absolute;left:7025;top:1896;width:3360;height:762;rotation:180" adj="2815" strokeweight="1.5pt">
                  <v:textbox style="mso-next-textbox:#_x0000_s2427">
                    <w:txbxContent>
                      <w:p w:rsidR="004F74C1" w:rsidRPr="005E7CD8" w:rsidRDefault="004F74C1" w:rsidP="004F74C1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Периферия кластера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Pr="004F74C1" w:rsidRDefault="00341F2B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4C1" w:rsidRPr="00341F2B" w:rsidRDefault="004F74C1" w:rsidP="00341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F2B">
        <w:rPr>
          <w:rFonts w:ascii="Times New Roman" w:hAnsi="Times New Roman"/>
          <w:sz w:val="24"/>
          <w:szCs w:val="24"/>
        </w:rPr>
        <w:t xml:space="preserve">Рисунок </w:t>
      </w:r>
      <w:r w:rsidR="00341F2B" w:rsidRPr="00341F2B">
        <w:rPr>
          <w:rFonts w:ascii="Times New Roman" w:hAnsi="Times New Roman"/>
          <w:sz w:val="24"/>
          <w:szCs w:val="24"/>
        </w:rPr>
        <w:t>8</w:t>
      </w:r>
      <w:r w:rsidRPr="00341F2B">
        <w:rPr>
          <w:rFonts w:ascii="Times New Roman" w:hAnsi="Times New Roman"/>
          <w:sz w:val="24"/>
          <w:szCs w:val="24"/>
        </w:rPr>
        <w:t>. Энергосервисный кластер (схема составлена автором)</w:t>
      </w:r>
    </w:p>
    <w:p w:rsidR="004F74C1" w:rsidRPr="004F74C1" w:rsidRDefault="004F74C1" w:rsidP="004F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pict>
          <v:group id="_x0000_s2457" style="position:absolute;left:0;text-align:left;margin-left:14pt;margin-top:2.95pt;width:462.55pt;height:580.9pt;z-index:251659264" coordorigin="2265,1515" coordsize="8120,11049">
            <v:group id="_x0000_s2458" style="position:absolute;left:2265;top:1515;width:7560;height:10668" coordorigin="2265,1515" coordsize="7560,10668">
              <v:rect id="_x0000_s2459" style="position:absolute;left:2265;top:2277;width:2240;height:3810" strokeweight="1.5pt">
                <v:textbox style="mso-next-textbox:#_x0000_s2459">
                  <w:txbxContent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Государство</w:t>
                      </w: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Кредиторы</w:t>
                      </w:r>
                    </w:p>
                  </w:txbxContent>
                </v:textbox>
              </v:rect>
              <v:rect id="_x0000_s2460" style="position:absolute;left:7025;top:2658;width:2800;height:3429" strokeweight="1.5pt">
                <v:textbox style="mso-next-textbox:#_x0000_s2460">
                  <w:txbxContent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Энергосервисная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компания</w:t>
                      </w: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Подрядчики</w:t>
                      </w:r>
                    </w:p>
                  </w:txbxContent>
                </v:textbox>
              </v:rect>
              <v:shape id="_x0000_s2461" type="#_x0000_t8" style="position:absolute;left:2265;top:1515;width:2240;height:762;rotation:180" strokeweight="1.5pt">
                <v:textbox style="mso-next-textbox:#_x0000_s2461">
                  <w:txbxContent>
                    <w:p w:rsidR="00867752" w:rsidRPr="00057BC4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ГЧП</w:t>
                      </w:r>
                    </w:p>
                  </w:txbxContent>
                </v:textbox>
              </v:shape>
              <v:shape id="_x0000_s2462" type="#_x0000_t8" style="position:absolute;left:7025;top:1515;width:2800;height:1143;rotation:180" strokeweight="1.5pt">
                <v:textbox style="mso-next-textbox:#_x0000_s2462">
                  <w:txbxContent>
                    <w:p w:rsidR="005D243E" w:rsidRDefault="005D243E" w:rsidP="00867752">
                      <w:pPr>
                        <w:spacing w:line="240" w:lineRule="auto"/>
                        <w:ind w:left="-567" w:right="-56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Энергосер</w:t>
                      </w:r>
                      <w:r w:rsidR="00867752">
                        <w:rPr>
                          <w:sz w:val="24"/>
                          <w:szCs w:val="24"/>
                        </w:rPr>
                        <w:t>висный</w:t>
                      </w:r>
                      <w:r>
                        <w:rPr>
                          <w:sz w:val="24"/>
                          <w:szCs w:val="24"/>
                        </w:rPr>
                        <w:t xml:space="preserve">     кластер</w:t>
                      </w:r>
                      <w:r w:rsidR="0086775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D243E" w:rsidRDefault="005D243E" w:rsidP="00867752">
                      <w:pPr>
                        <w:spacing w:line="240" w:lineRule="auto"/>
                        <w:ind w:left="-567" w:right="-56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клстер</w:t>
                      </w:r>
                    </w:p>
                  </w:txbxContent>
                </v:textbox>
              </v:shape>
              <v:oval id="_x0000_s2463" style="position:absolute;left:4506;top:7611;width:4200;height:1524" strokeweight="1.5pt">
                <v:textbox style="mso-next-textbox:#_x0000_s2463">
                  <w:txbxContent>
                    <w:p w:rsidR="00867752" w:rsidRPr="00057BC4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Проект по снижению энергоемкости производства</w:t>
                      </w:r>
                    </w:p>
                  </w:txbxContent>
                </v:textbox>
              </v:oval>
              <v:shape id="_x0000_s2464" type="#_x0000_t8" style="position:absolute;left:4505;top:10659;width:4199;height:1524" strokeweight="1.5pt">
                <v:textbox style="mso-next-textbox:#_x0000_s2464" inset="0,0,0,0">
                  <w:txbxContent>
                    <w:p w:rsidR="00867752" w:rsidRPr="00057BC4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Заказчик – промышленное предприятие</w:t>
                      </w:r>
                    </w:p>
                  </w:txbxContent>
                </v:textbox>
              </v:shape>
            </v:group>
            <v:group id="_x0000_s2465" style="position:absolute;left:3665;top:2658;width:6720;height:9906" coordorigin="3665,2658" coordsize="6720,9906">
              <v:shape id="_x0000_s2466" type="#_x0000_t32" style="position:absolute;left:3665;top:2658;width:1;height:3048" o:connectortype="straight" strokeweight="1.5pt">
                <v:stroke startarrow="block" endarrow="block"/>
              </v:shape>
              <v:shape id="_x0000_s2467" type="#_x0000_t32" style="position:absolute;left:8705;top:3420;width:1;height:1905" o:connectortype="straight" strokeweight="1.5pt">
                <v:stroke startarrow="block" endarrow="block"/>
              </v:shape>
              <v:shape id="_x0000_s2468" type="#_x0000_t32" style="position:absolute;left:4225;top:2658;width:3220;height:381" o:connectortype="straight" strokeweight="1.5pt">
                <v:stroke startarrow="block" endarrow="block"/>
              </v:shape>
              <v:shape id="_x0000_s2469" type="#_x0000_t32" style="position:absolute;left:4085;top:3039;width:3360;height:2667;flip:y" o:connectortype="straight" strokeweight="1.5pt">
                <v:stroke startarrow="block" endarrow="block"/>
              </v:shape>
              <v:shape id="_x0000_s2470" type="#_x0000_t32" style="position:absolute;left:6465;top:6087;width:1820;height:1524;flip:x" o:connectortype="straight" strokeweight="1.5pt">
                <v:stroke endarrow="block"/>
              </v:shape>
              <v:shape id="_x0000_s2471" type="#_x0000_t32" style="position:absolute;left:6465;top:9135;width:1;height:1524" o:connectortype="straight" strokeweight="1.5pt">
                <v:stroke endarrow="block"/>
              </v:shape>
              <v:shape id="_x0000_s2472" type="#_x0000_t32" style="position:absolute;left:9545;top:3039;width:840;height:0;flip:x" o:connectortype="straight" strokeweight="1.5pt">
                <v:stroke endarrow="block"/>
              </v:shape>
              <v:shape id="_x0000_s2473" type="#_x0000_t32" style="position:absolute;left:10385;top:3039;width:0;height:9525" o:connectortype="straight" strokeweight="1.5pt"/>
              <v:shape id="_x0000_s2474" type="#_x0000_t32" style="position:absolute;left:6465;top:12183;width:1;height:381" o:connectortype="straight" strokeweight="1.5pt"/>
              <v:shape id="_x0000_s2475" type="#_x0000_t32" style="position:absolute;left:6465;top:12564;width:3920;height:0" o:connectortype="straight" strokeweight="1.5pt"/>
            </v:group>
            <v:group id="_x0000_s2476" style="position:absolute;left:4645;top:2277;width:5740;height:8001" coordorigin="4645,2277" coordsize="5740,80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77" type="#_x0000_t202" style="position:absolute;left:4645;top:2277;width:2240;height:762" stroked="f">
                <v:fill opacity="0"/>
                <v:textbox style="mso-next-textbox:#_x0000_s2477">
                  <w:txbxContent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Гарантии</w:t>
                      </w:r>
                    </w:p>
                  </w:txbxContent>
                </v:textbox>
              </v:shape>
              <v:shape id="_x0000_s2478" type="#_x0000_t202" style="position:absolute;left:4645;top:4563;width:2240;height:762" stroked="f">
                <v:fill opacity="0"/>
                <v:textbox style="mso-next-textbox:#_x0000_s2478">
                  <w:txbxContent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Финансирование</w:t>
                      </w:r>
                    </w:p>
                  </w:txbxContent>
                </v:textbox>
              </v:shape>
              <v:shape id="_x0000_s2479" type="#_x0000_t202" style="position:absolute;left:5625;top:6468;width:2240;height:762" stroked="f">
                <v:fill opacity="0"/>
                <v:textbox style="mso-next-textbox:#_x0000_s2479">
                  <w:txbxContent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Реализация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проекта</w:t>
                      </w:r>
                    </w:p>
                  </w:txbxContent>
                </v:textbox>
              </v:shape>
              <v:shape id="_x0000_s2480" type="#_x0000_t202" style="position:absolute;left:6325;top:9516;width:2240;height:762" stroked="f">
                <v:fill opacity="0"/>
                <v:textbox style="mso-next-textbox:#_x0000_s2480">
                  <w:txbxContent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Эффекты энергосбережения</w:t>
                      </w:r>
                    </w:p>
                  </w:txbxContent>
                </v:textbox>
              </v:shape>
              <v:shape id="_x0000_s2481" type="#_x0000_t202" style="position:absolute;left:9545;top:7230;width:840;height:2286" stroked="f">
                <v:fill opacity="0"/>
                <v:textbox style="layout-flow:vertical;mso-layout-flow-alt:bottom-to-top;mso-next-textbox:#_x0000_s2481">
                  <w:txbxContent>
                    <w:p w:rsidR="00867752" w:rsidRPr="0042602C" w:rsidRDefault="00867752" w:rsidP="0086775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Возврат средств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+ прибыль</w:t>
                      </w:r>
                    </w:p>
                  </w:txbxContent>
                </v:textbox>
              </v:shape>
            </v:group>
          </v:group>
        </w:pic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pict>
          <v:shape id="_x0000_s2455" type="#_x0000_t202" style="position:absolute;left:0;text-align:left;margin-left:28pt;margin-top:14.75pt;width:56pt;height:114.3pt;z-index:251657216" stroked="f">
            <v:fill opacity="0"/>
            <v:textbox style="layout-flow:vertical;mso-layout-flow-alt:bottom-to-top">
              <w:txbxContent>
                <w:p w:rsidR="00867752" w:rsidRDefault="00867752" w:rsidP="0086775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</w:t>
                  </w:r>
                </w:p>
                <w:p w:rsidR="00867752" w:rsidRDefault="00867752" w:rsidP="0086775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Гарантии</w:t>
                  </w:r>
                </w:p>
                <w:p w:rsidR="00867752" w:rsidRPr="0042602C" w:rsidRDefault="00867752" w:rsidP="0086775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Софинансирование</w:t>
                  </w:r>
                </w:p>
              </w:txbxContent>
            </v:textbox>
          </v:shape>
        </w:pic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pict>
          <v:shape id="_x0000_s2456" type="#_x0000_t202" style="position:absolute;left:0;text-align:left;margin-left:301pt;margin-top:4.55pt;width:35pt;height:57.15pt;z-index:251658240" stroked="f">
            <v:fill opacity="0"/>
            <v:textbox style="layout-flow:vertical;mso-layout-flow-alt:bottom-to-top;mso-next-textbox:#_x0000_s2456">
              <w:txbxContent>
                <w:p w:rsidR="00867752" w:rsidRPr="0042602C" w:rsidRDefault="00867752" w:rsidP="0086775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Подряды</w:t>
                  </w:r>
                </w:p>
              </w:txbxContent>
            </v:textbox>
          </v:shape>
        </w:pic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 xml:space="preserve"> 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Pr="00867752" w:rsidRDefault="00341F2B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2B" w:rsidRPr="00867752" w:rsidRDefault="00341F2B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52" w:rsidRPr="00341F2B" w:rsidRDefault="00867752" w:rsidP="00341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F2B">
        <w:rPr>
          <w:rFonts w:ascii="Times New Roman" w:hAnsi="Times New Roman"/>
          <w:sz w:val="24"/>
          <w:szCs w:val="24"/>
        </w:rPr>
        <w:t xml:space="preserve">Рисунок </w:t>
      </w:r>
      <w:r w:rsidR="00341F2B" w:rsidRPr="00341F2B">
        <w:rPr>
          <w:rFonts w:ascii="Times New Roman" w:hAnsi="Times New Roman"/>
          <w:sz w:val="24"/>
          <w:szCs w:val="24"/>
        </w:rPr>
        <w:t>9</w:t>
      </w:r>
      <w:r w:rsidRPr="00341F2B">
        <w:rPr>
          <w:rFonts w:ascii="Times New Roman" w:hAnsi="Times New Roman"/>
          <w:sz w:val="24"/>
          <w:szCs w:val="24"/>
        </w:rPr>
        <w:t>. Механизм государственно-частного партнерства (ГЧП) по развитию энергосервисных кластеров (схема составлена автором)</w:t>
      </w:r>
    </w:p>
    <w:p w:rsidR="00867752" w:rsidRPr="00341F2B" w:rsidRDefault="00867752" w:rsidP="00341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F2B" w:rsidRPr="00341F2B" w:rsidRDefault="00341F2B" w:rsidP="00341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DB1" w:rsidRPr="00142DB1" w:rsidRDefault="00142DB1" w:rsidP="00341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F2B" w:rsidRPr="0099112D" w:rsidRDefault="00341F2B" w:rsidP="00341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b/>
          <w:sz w:val="28"/>
          <w:szCs w:val="28"/>
        </w:rPr>
        <w:t>Выводы  и  предложения</w:t>
      </w:r>
    </w:p>
    <w:p w:rsidR="00341F2B" w:rsidRDefault="00341F2B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43E" w:rsidRPr="004F74C1" w:rsidRDefault="005D243E" w:rsidP="00341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Fonts w:ascii="Times New Roman" w:hAnsi="Times New Roman"/>
          <w:sz w:val="28"/>
          <w:szCs w:val="28"/>
        </w:rPr>
        <w:t>Представляется, что в данном направлении особую роль должно сыграть развитие энергосервисных кластеров.</w:t>
      </w:r>
      <w:r w:rsidR="00341F2B">
        <w:rPr>
          <w:rFonts w:ascii="Times New Roman" w:hAnsi="Times New Roman"/>
          <w:sz w:val="28"/>
          <w:szCs w:val="28"/>
        </w:rPr>
        <w:t xml:space="preserve"> В</w:t>
      </w:r>
      <w:r w:rsidRPr="004F74C1">
        <w:rPr>
          <w:rFonts w:ascii="Times New Roman" w:hAnsi="Times New Roman"/>
          <w:sz w:val="28"/>
          <w:szCs w:val="28"/>
        </w:rPr>
        <w:t>озникающие в кластерных структурах эффекты, позволяют сформировать точки соприкосновения технологий, инженер</w:t>
      </w:r>
      <w:r w:rsidR="00944F88">
        <w:rPr>
          <w:rFonts w:ascii="Times New Roman" w:hAnsi="Times New Roman"/>
          <w:sz w:val="28"/>
          <w:szCs w:val="28"/>
        </w:rPr>
        <w:t>ии</w:t>
      </w:r>
      <w:r w:rsidRPr="004F74C1">
        <w:rPr>
          <w:rFonts w:ascii="Times New Roman" w:hAnsi="Times New Roman"/>
          <w:sz w:val="28"/>
          <w:szCs w:val="28"/>
        </w:rPr>
        <w:t xml:space="preserve"> и реального производства, способствующие их взаимовыгодному сотрудничеству в реализации какой-либо главенствующей цели. В современных условиях такой целью может являться снижение энергоемкости промышленных производств, обеспечивающее, как было определено ранее, основу устойчивого экономического роста в среднесрочной и долгосрочной перспективах. Это обусловливает необходимость в развитии энергосервисных кластеров.</w:t>
      </w:r>
    </w:p>
    <w:p w:rsidR="005D243E" w:rsidRPr="004F74C1" w:rsidRDefault="00765696" w:rsidP="005D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5D243E" w:rsidRPr="004F74C1">
        <w:rPr>
          <w:rFonts w:ascii="Times New Roman" w:hAnsi="Times New Roman"/>
          <w:sz w:val="28"/>
          <w:szCs w:val="28"/>
        </w:rPr>
        <w:t>дром энергосервисного кластера должны стать энергосервисные компании, управляющие реализацией конкретных проектов по энергосбереж</w:t>
      </w:r>
      <w:r w:rsidR="005D243E" w:rsidRPr="004F74C1">
        <w:rPr>
          <w:rFonts w:ascii="Times New Roman" w:hAnsi="Times New Roman"/>
          <w:sz w:val="28"/>
          <w:szCs w:val="28"/>
        </w:rPr>
        <w:t>е</w:t>
      </w:r>
      <w:r w:rsidR="005D243E" w:rsidRPr="004F74C1">
        <w:rPr>
          <w:rFonts w:ascii="Times New Roman" w:hAnsi="Times New Roman"/>
          <w:sz w:val="28"/>
          <w:szCs w:val="28"/>
        </w:rPr>
        <w:t>нию на предприятиях промышленного комплекса. С ядром должны быть тесно интегрированы предприятия и организации периферии, среди которых в обязательном порядке должны быть: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научно-исследовательские организации;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учреждения по подготовке кадров;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производители и поставщики энергоэффе</w:t>
      </w:r>
      <w:r w:rsidR="005D243E" w:rsidRPr="004F74C1">
        <w:rPr>
          <w:rFonts w:ascii="Times New Roman" w:hAnsi="Times New Roman"/>
          <w:sz w:val="28"/>
          <w:szCs w:val="28"/>
        </w:rPr>
        <w:t>к</w:t>
      </w:r>
      <w:r w:rsidR="005D243E" w:rsidRPr="004F74C1">
        <w:rPr>
          <w:rFonts w:ascii="Times New Roman" w:hAnsi="Times New Roman"/>
          <w:sz w:val="28"/>
          <w:szCs w:val="28"/>
        </w:rPr>
        <w:t>тивного оборудования и производственных технологий;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ремонтно-монтажные организации;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представительства компетентных учреждений государственной власти;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финансовые организации (кредиторы и инвесторы);</w:t>
      </w:r>
      <w:r w:rsidR="005D243E">
        <w:rPr>
          <w:rFonts w:ascii="Times New Roman" w:hAnsi="Times New Roman"/>
          <w:sz w:val="28"/>
          <w:szCs w:val="28"/>
        </w:rPr>
        <w:t xml:space="preserve"> </w:t>
      </w:r>
      <w:r w:rsidR="005D243E" w:rsidRPr="004F74C1">
        <w:rPr>
          <w:rFonts w:ascii="Times New Roman" w:hAnsi="Times New Roman"/>
          <w:sz w:val="28"/>
          <w:szCs w:val="28"/>
        </w:rPr>
        <w:t>организации, формиру</w:t>
      </w:r>
      <w:r w:rsidR="005D243E" w:rsidRPr="004F74C1">
        <w:rPr>
          <w:rFonts w:ascii="Times New Roman" w:hAnsi="Times New Roman"/>
          <w:sz w:val="28"/>
          <w:szCs w:val="28"/>
        </w:rPr>
        <w:t>ю</w:t>
      </w:r>
      <w:r w:rsidR="005D243E" w:rsidRPr="004F74C1">
        <w:rPr>
          <w:rFonts w:ascii="Times New Roman" w:hAnsi="Times New Roman"/>
          <w:sz w:val="28"/>
          <w:szCs w:val="28"/>
        </w:rPr>
        <w:t>щие инфраструктуру кластера.</w:t>
      </w:r>
      <w:r w:rsidR="005D243E">
        <w:rPr>
          <w:rFonts w:ascii="Times New Roman" w:hAnsi="Times New Roman"/>
          <w:sz w:val="28"/>
          <w:szCs w:val="28"/>
        </w:rPr>
        <w:t xml:space="preserve"> </w:t>
      </w:r>
    </w:p>
    <w:p w:rsidR="005D243E" w:rsidRPr="004F74C1" w:rsidRDefault="005D243E" w:rsidP="005D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C1">
        <w:rPr>
          <w:rFonts w:ascii="Times New Roman" w:hAnsi="Times New Roman"/>
          <w:sz w:val="28"/>
          <w:szCs w:val="28"/>
        </w:rPr>
        <w:t>Реализация механизма энергосервисных кластеров на практике позволит осуществить развитие отечественных разработок и их включение в конкретные инвестиционные проекты (кейсы с подсчетом конкретных проектов, эффектов и стоимости) с последующей реализацией на производстве с целью достижения капитализации эффектов от снижения энергоемкости продукции и добавленной стоимости – основной проблемы, препятствующей развитию энергосервиса в России сегодня.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2DB1" w:rsidRDefault="00341F2B" w:rsidP="00142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</w:t>
      </w:r>
      <w:r w:rsidR="005D243E" w:rsidRPr="00867752">
        <w:rPr>
          <w:rFonts w:ascii="Times New Roman" w:hAnsi="Times New Roman"/>
          <w:sz w:val="28"/>
          <w:szCs w:val="28"/>
        </w:rPr>
        <w:t>ля решения сложившихся проблем интересным представляется механизм государственно-частного партнерства (ГЧП).</w:t>
      </w:r>
      <w:r>
        <w:rPr>
          <w:rFonts w:ascii="Times New Roman" w:hAnsi="Times New Roman"/>
          <w:sz w:val="28"/>
          <w:szCs w:val="28"/>
        </w:rPr>
        <w:t xml:space="preserve"> То есть, </w:t>
      </w:r>
      <w:r w:rsidR="005D243E" w:rsidRPr="00867752">
        <w:rPr>
          <w:rFonts w:ascii="Times New Roman" w:hAnsi="Times New Roman"/>
          <w:sz w:val="28"/>
          <w:szCs w:val="28"/>
        </w:rPr>
        <w:t>представляе</w:t>
      </w:r>
      <w:r w:rsidR="005D243E" w:rsidRPr="00867752">
        <w:rPr>
          <w:rFonts w:ascii="Times New Roman" w:hAnsi="Times New Roman"/>
          <w:sz w:val="28"/>
          <w:szCs w:val="28"/>
        </w:rPr>
        <w:t>т</w:t>
      </w:r>
      <w:r w:rsidR="005D243E" w:rsidRPr="00867752">
        <w:rPr>
          <w:rFonts w:ascii="Times New Roman" w:hAnsi="Times New Roman"/>
          <w:sz w:val="28"/>
          <w:szCs w:val="28"/>
        </w:rPr>
        <w:t xml:space="preserve">ся целесообразным предложить дополнить идею энергосервисных кластеров организационно-экономическим механизмом государственно-частного партнерства для поддержки развития института энергосервисных контрактов, в т.ч. реализуемых по принципу раздела экономии, в рамках которого энергосервисная компания осуществляет финансирование, а полученная экономия разделяется между энергосервисной компанией и заказчиком. </w:t>
      </w:r>
    </w:p>
    <w:p w:rsidR="00867752" w:rsidRPr="00867752" w:rsidRDefault="00142DB1" w:rsidP="00142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67752" w:rsidRPr="00867752">
        <w:rPr>
          <w:rFonts w:ascii="Times New Roman" w:hAnsi="Times New Roman"/>
          <w:sz w:val="28"/>
          <w:szCs w:val="28"/>
        </w:rPr>
        <w:t>сновными субъектами механизма государственно-частного партнерства являются государство и кредиторы</w:t>
      </w:r>
      <w:r w:rsidR="00944F88">
        <w:rPr>
          <w:rFonts w:ascii="Times New Roman" w:hAnsi="Times New Roman"/>
          <w:sz w:val="28"/>
          <w:szCs w:val="28"/>
        </w:rPr>
        <w:t>,</w:t>
      </w:r>
      <w:r w:rsidR="00867752" w:rsidRPr="00867752">
        <w:rPr>
          <w:rFonts w:ascii="Times New Roman" w:hAnsi="Times New Roman"/>
          <w:sz w:val="28"/>
          <w:szCs w:val="28"/>
        </w:rPr>
        <w:t xml:space="preserve"> а объектом – энергосервисная компания и отдельные энергосервисные проекты, реализуемые ею. В данном случае кредиторы, как и обычно, выступают источником предоставления заемных средств для энергосервисных компаний для реализации конкретных проектов по снижению энергоемкости производства. В свою очередь, государство, в лице, например, Правительства РФ или доверенных им министерств, посредством существующих инструментов, например, Внешэкономбанка или специализированных государственных фондов, а также федерального бюджета, обеспечивает финансовую поддержку кредиторов, предоставляющих энергосервисным компаниям льготные займы, позволяющие реализовывать комплексные проекты снижения энергоемкости производства.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>Формально государственная финансовая поддержка в рамках предлага</w:t>
      </w:r>
      <w:r w:rsidRPr="00867752">
        <w:rPr>
          <w:rFonts w:ascii="Times New Roman" w:hAnsi="Times New Roman"/>
          <w:sz w:val="28"/>
          <w:szCs w:val="28"/>
        </w:rPr>
        <w:t>е</w:t>
      </w:r>
      <w:r w:rsidRPr="00867752">
        <w:rPr>
          <w:rFonts w:ascii="Times New Roman" w:hAnsi="Times New Roman"/>
          <w:sz w:val="28"/>
          <w:szCs w:val="28"/>
        </w:rPr>
        <w:t>мого механизма ГЧП по развитию энергосервисных кластеров может быть представлена следующими инструментами: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>- субсидированной процентной ставкой по энергосервисным контрактам, предлагаемой к введению в рамках реализации Федерального закона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что позволит существенно расширить перечень энергосберега</w:t>
      </w:r>
      <w:r w:rsidRPr="00867752">
        <w:rPr>
          <w:rFonts w:ascii="Times New Roman" w:hAnsi="Times New Roman"/>
          <w:sz w:val="28"/>
          <w:szCs w:val="28"/>
        </w:rPr>
        <w:t>ю</w:t>
      </w:r>
      <w:r w:rsidRPr="00867752">
        <w:rPr>
          <w:rFonts w:ascii="Times New Roman" w:hAnsi="Times New Roman"/>
          <w:sz w:val="28"/>
          <w:szCs w:val="28"/>
        </w:rPr>
        <w:t>щих мероприятий и обеспечить комплексную смысловую нагрузку контракта;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>- гарантирование государством кредитов, что позволит осуществить переход на расчетный метод экономии, предполагающий определение потенциала энергоресурсосбережения и реализуемых мероприятий, дискретное фиксирование полученного результата и определение на данной основе графиков платежей. Высокая значимость наличия документа с четко прописанными обязанностями заказчика по оплате выполненных процедур и полученным результатом определяется требованиями банков. В связи с этим схема энергосервисного контракта, основанная на «расчете от экономии», в существующих условиях будет наиболее актуальной;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>- применение комплексного софинансирования. Как показывает опыт, зачастую физическое состояние ограждающих конструкций, крыш и дверей зданий не соответствует СНиПам и санитарным нормам, что определяет неэффективность и не рациональность решения общей проблемы исключител</w:t>
      </w:r>
      <w:r w:rsidRPr="00867752">
        <w:rPr>
          <w:rFonts w:ascii="Times New Roman" w:hAnsi="Times New Roman"/>
          <w:sz w:val="28"/>
          <w:szCs w:val="28"/>
        </w:rPr>
        <w:t>ь</w:t>
      </w:r>
      <w:r w:rsidRPr="00867752">
        <w:rPr>
          <w:rFonts w:ascii="Times New Roman" w:hAnsi="Times New Roman"/>
          <w:sz w:val="28"/>
          <w:szCs w:val="28"/>
        </w:rPr>
        <w:t>но за счет реализации мероприятий энергосервиса и энергосбережения. Это обусловливает необходимость разработки комплексного контракта, предполагающего софинансирование и проведение мероприятий энергосбер</w:t>
      </w:r>
      <w:r w:rsidRPr="00867752">
        <w:rPr>
          <w:rFonts w:ascii="Times New Roman" w:hAnsi="Times New Roman"/>
          <w:sz w:val="28"/>
          <w:szCs w:val="28"/>
        </w:rPr>
        <w:t>е</w:t>
      </w:r>
      <w:r w:rsidRPr="00867752">
        <w:rPr>
          <w:rFonts w:ascii="Times New Roman" w:hAnsi="Times New Roman"/>
          <w:sz w:val="28"/>
          <w:szCs w:val="28"/>
        </w:rPr>
        <w:t>жения, а также общих работ, связанных с санацией зданий и сооружений.</w:t>
      </w:r>
    </w:p>
    <w:p w:rsidR="00867752" w:rsidRPr="00867752" w:rsidRDefault="00867752" w:rsidP="0086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752">
        <w:rPr>
          <w:rFonts w:ascii="Times New Roman" w:hAnsi="Times New Roman"/>
          <w:sz w:val="28"/>
          <w:szCs w:val="28"/>
        </w:rPr>
        <w:t>В совокупности, предлагаемый механизм позволит в существенной мере повысить коммерческую привлекательность инвестиционных проектов, разрабатываемых энергосервисными компаниями. А вместе с тем станет новой основой развития отрасли энергосбережения и повышения энергоэффективн</w:t>
      </w:r>
      <w:r w:rsidRPr="00867752">
        <w:rPr>
          <w:rFonts w:ascii="Times New Roman" w:hAnsi="Times New Roman"/>
          <w:sz w:val="28"/>
          <w:szCs w:val="28"/>
        </w:rPr>
        <w:t>о</w:t>
      </w:r>
      <w:r w:rsidRPr="00867752">
        <w:rPr>
          <w:rFonts w:ascii="Times New Roman" w:hAnsi="Times New Roman"/>
          <w:sz w:val="28"/>
          <w:szCs w:val="28"/>
        </w:rPr>
        <w:t>сти отечественной экономики, что крайне необходимо для проведения новой индустриализации и обеспечения лидирующих позиций России в современных условиях высокой международной конкуренции и открытых границ внутреннего рынка.</w:t>
      </w:r>
    </w:p>
    <w:p w:rsidR="00867752" w:rsidRDefault="00867752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A16" w:rsidRDefault="00901A16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696" w:rsidRPr="00975DF2" w:rsidRDefault="00765696" w:rsidP="00C61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01" w:rsidRDefault="00583601" w:rsidP="00AC12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75DF2">
        <w:rPr>
          <w:rFonts w:ascii="Times New Roman" w:hAnsi="Times New Roman"/>
          <w:b/>
          <w:bCs/>
          <w:iCs/>
          <w:sz w:val="28"/>
          <w:szCs w:val="28"/>
        </w:rPr>
        <w:t>Основные положения диссертационного исследования опубликованы в следующих научных работах:</w:t>
      </w:r>
    </w:p>
    <w:p w:rsidR="00356FA5" w:rsidRPr="00975DF2" w:rsidRDefault="00356FA5" w:rsidP="00AC12B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83601" w:rsidRPr="00975DF2" w:rsidRDefault="00583601" w:rsidP="00B941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75DF2">
        <w:rPr>
          <w:rFonts w:ascii="Times New Roman" w:hAnsi="Times New Roman"/>
          <w:b/>
          <w:bCs/>
          <w:iCs/>
          <w:sz w:val="28"/>
          <w:szCs w:val="28"/>
        </w:rPr>
        <w:t>Статьи, опубликованные в рецензируемых научных журналах и изданиях, рекомендованных ВАК:</w:t>
      </w:r>
    </w:p>
    <w:p w:rsidR="00142DB1" w:rsidRPr="00142DB1" w:rsidRDefault="00142DB1" w:rsidP="00D11D3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11D3C" w:rsidRPr="00D11D3C" w:rsidRDefault="00D11D3C" w:rsidP="00D11D3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</w:t>
      </w:r>
      <w:r w:rsidR="00F60605" w:rsidRPr="00D11D3C">
        <w:rPr>
          <w:rFonts w:ascii="Times New Roman" w:hAnsi="Times New Roman"/>
          <w:b/>
          <w:sz w:val="28"/>
          <w:szCs w:val="28"/>
        </w:rPr>
        <w:t>Гукасова Н.Р.</w:t>
      </w:r>
      <w:r w:rsidR="00F60605" w:rsidRPr="00A368E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F60605" w:rsidRPr="00A36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hAnsi="Times New Roman"/>
          <w:b/>
          <w:sz w:val="28"/>
          <w:szCs w:val="28"/>
        </w:rPr>
        <w:t>Сахарова Л.А.</w:t>
      </w:r>
      <w:r w:rsidR="00F60605" w:rsidRPr="00D11D3C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Противоречия формирования конкуре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тоспособности российской промышленности</w:t>
      </w:r>
      <w:r w:rsidR="00F60605" w:rsidRPr="00D11D3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//</w:t>
      </w:r>
      <w:r w:rsidR="00F60605" w:rsidRPr="00D11D3C">
        <w:rPr>
          <w:rFonts w:eastAsia="Calibri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Экономика и предпринимател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ство.- 2014.-№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12(ч.2)(53-2).-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0,7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п.л.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(авт.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0,35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п.л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D11D3C" w:rsidRPr="00D11D3C" w:rsidRDefault="00D11D3C" w:rsidP="00D11D3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 w:rsidRPr="00D11D3C">
        <w:rPr>
          <w:rFonts w:ascii="Times New Roman" w:hAnsi="Times New Roman"/>
          <w:b/>
          <w:sz w:val="28"/>
          <w:szCs w:val="28"/>
        </w:rPr>
        <w:t xml:space="preserve"> </w:t>
      </w:r>
      <w:r w:rsidR="00F60605" w:rsidRPr="00D11D3C">
        <w:rPr>
          <w:rFonts w:ascii="Times New Roman" w:hAnsi="Times New Roman"/>
          <w:b/>
          <w:sz w:val="28"/>
          <w:szCs w:val="28"/>
        </w:rPr>
        <w:t>Гукасова Н.Р.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Особенности  российского экономического развития  в промышленном производстве</w:t>
      </w:r>
      <w:r w:rsidR="00F60605" w:rsidRPr="00D11D3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// Экономика и предпринимательство.- 2014.-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12(ч.3)(53-3).-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0,5</w:t>
      </w:r>
      <w:r w:rsidR="00F606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п.л.</w:t>
      </w:r>
    </w:p>
    <w:p w:rsidR="00D11D3C" w:rsidRPr="00D11D3C" w:rsidRDefault="00D11D3C" w:rsidP="00D11D3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Pr="00D11D3C">
        <w:rPr>
          <w:rFonts w:ascii="Times New Roman" w:hAnsi="Times New Roman"/>
          <w:b/>
          <w:sz w:val="28"/>
          <w:szCs w:val="28"/>
        </w:rPr>
        <w:t xml:space="preserve"> </w:t>
      </w:r>
      <w:r w:rsidR="00F60605" w:rsidRPr="00D11D3C">
        <w:rPr>
          <w:rFonts w:ascii="Times New Roman" w:hAnsi="Times New Roman"/>
          <w:b/>
          <w:sz w:val="28"/>
          <w:szCs w:val="28"/>
        </w:rPr>
        <w:t>Гукасова Н.Р.</w:t>
      </w:r>
      <w:r w:rsidR="00F60605" w:rsidRPr="00D11D3C">
        <w:rPr>
          <w:rFonts w:eastAsia="Calibri"/>
          <w:bCs/>
          <w:iCs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Энергоемкость и энергоэффективность российской промышленности</w:t>
      </w:r>
      <w:r w:rsidR="00F60605" w:rsidRPr="00D11D3C">
        <w:rPr>
          <w:rFonts w:eastAsia="Calibri"/>
          <w:bCs/>
          <w:iCs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// </w:t>
      </w:r>
      <w:hyperlink r:id="rId19" w:history="1">
        <w:r w:rsidR="00F60605" w:rsidRPr="00D11D3C">
          <w:rPr>
            <w:rFonts w:ascii="Times New Roman" w:eastAsia="Calibri" w:hAnsi="Times New Roman"/>
            <w:sz w:val="28"/>
            <w:szCs w:val="28"/>
            <w:lang w:eastAsia="en-US"/>
          </w:rPr>
          <w:t>Terra Economicus</w:t>
        </w:r>
      </w:hyperlink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("Пространство экономики").- . 2014.</w:t>
      </w:r>
      <w:r w:rsidR="001A644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Т. 12.</w:t>
      </w:r>
      <w:r w:rsidR="001A644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20" w:history="1">
        <w:r w:rsidR="00F60605" w:rsidRPr="00D11D3C">
          <w:rPr>
            <w:rFonts w:ascii="Times New Roman" w:eastAsia="Calibri" w:hAnsi="Times New Roman"/>
            <w:sz w:val="28"/>
            <w:szCs w:val="28"/>
            <w:lang w:eastAsia="en-US"/>
          </w:rPr>
          <w:t xml:space="preserve">№ </w:t>
        </w:r>
        <w:r w:rsidR="00F60605" w:rsidRPr="00D11D3C">
          <w:rPr>
            <w:rFonts w:ascii="Times New Roman" w:eastAsia="Calibri" w:hAnsi="Times New Roman"/>
            <w:sz w:val="28"/>
            <w:szCs w:val="28"/>
            <w:lang w:val="en-US" w:eastAsia="en-US"/>
          </w:rPr>
          <w:t>2</w:t>
        </w:r>
        <w:r w:rsidR="00F60605" w:rsidRPr="00D11D3C">
          <w:rPr>
            <w:rFonts w:ascii="Times New Roman" w:eastAsia="Calibri" w:hAnsi="Times New Roman"/>
            <w:sz w:val="28"/>
            <w:szCs w:val="28"/>
            <w:lang w:eastAsia="en-US"/>
          </w:rPr>
          <w:t>-3</w:t>
        </w:r>
      </w:hyperlink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.-</w:t>
      </w:r>
      <w:r w:rsidR="001A64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>0,5п.л.</w:t>
      </w:r>
      <w:r w:rsidR="001A64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11D3C" w:rsidRPr="00D11D3C" w:rsidRDefault="00D11D3C" w:rsidP="00D11D3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D11D3C">
        <w:rPr>
          <w:rFonts w:ascii="Times New Roman" w:hAnsi="Times New Roman"/>
          <w:b/>
          <w:sz w:val="28"/>
          <w:szCs w:val="28"/>
        </w:rPr>
        <w:t xml:space="preserve"> </w:t>
      </w:r>
      <w:r w:rsidR="00F60605" w:rsidRPr="00D11D3C">
        <w:rPr>
          <w:rFonts w:ascii="Times New Roman" w:hAnsi="Times New Roman"/>
          <w:b/>
          <w:sz w:val="28"/>
          <w:szCs w:val="28"/>
        </w:rPr>
        <w:t>Гукасова Н.Р.</w:t>
      </w:r>
      <w:r w:rsidR="00F60605" w:rsidRPr="00D11D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6441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1A6441" w:rsidRPr="001A6441">
        <w:rPr>
          <w:rFonts w:ascii="Times New Roman" w:eastAsia="Calibri" w:hAnsi="Times New Roman"/>
          <w:sz w:val="28"/>
          <w:szCs w:val="28"/>
          <w:lang w:eastAsia="en-US"/>
        </w:rPr>
        <w:t>азличные экономические тенденции развития топли</w:t>
      </w:r>
      <w:r w:rsidR="001A6441" w:rsidRPr="001A644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1A6441" w:rsidRPr="001A6441">
        <w:rPr>
          <w:rFonts w:ascii="Times New Roman" w:eastAsia="Calibri" w:hAnsi="Times New Roman"/>
          <w:sz w:val="28"/>
          <w:szCs w:val="28"/>
          <w:lang w:eastAsia="en-US"/>
        </w:rPr>
        <w:t xml:space="preserve">но-энергетического комплекса </w:t>
      </w:r>
      <w:r w:rsidR="00F60605" w:rsidRPr="001A6441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F60605" w:rsidRPr="001A644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F60605"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Вестник института Дружбы народов Кавказа "Теория экономики и управления народным хозяйством".- 2014. - № 4(32). - 0,5 п.л.</w:t>
      </w:r>
      <w:r w:rsidR="001A644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</w:p>
    <w:p w:rsidR="00CE15D9" w:rsidRDefault="00D11D3C" w:rsidP="00CE15D9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D11D3C">
        <w:rPr>
          <w:rFonts w:ascii="Times New Roman" w:hAnsi="Times New Roman"/>
          <w:b/>
          <w:sz w:val="28"/>
          <w:szCs w:val="28"/>
        </w:rPr>
        <w:t xml:space="preserve"> Гукасова Н.Р.</w:t>
      </w:r>
      <w:r w:rsidRPr="00D11D3C">
        <w:rPr>
          <w:rFonts w:eastAsia="Calibri"/>
          <w:b/>
          <w:bCs/>
          <w:iCs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Инструменты повышения энергоэффективности российской промышленности</w:t>
      </w:r>
      <w:r w:rsidR="00EC560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Pr="00D11D3C">
        <w:rPr>
          <w:rFonts w:ascii="Times New Roman" w:hAnsi="Times New Roman"/>
          <w:sz w:val="28"/>
          <w:szCs w:val="28"/>
        </w:rPr>
        <w:t>//</w:t>
      </w:r>
      <w:r w:rsidRP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Экономика, статистика и информат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и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ка.</w:t>
      </w:r>
      <w:r w:rsid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Вестник УМО.- 2015.- №</w:t>
      </w:r>
      <w:r w:rsid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1.-</w:t>
      </w:r>
      <w:r w:rsid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0,5</w:t>
      </w:r>
      <w:r w:rsid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color w:val="000000"/>
          <w:sz w:val="28"/>
          <w:lang w:eastAsia="en-US"/>
        </w:rPr>
        <w:t>п.л.</w:t>
      </w:r>
      <w:r w:rsidR="00EC5600">
        <w:rPr>
          <w:rFonts w:ascii="Times New Roman" w:eastAsia="Calibri" w:hAnsi="Times New Roman"/>
          <w:bCs/>
          <w:color w:val="000000"/>
          <w:sz w:val="28"/>
          <w:lang w:eastAsia="en-US"/>
        </w:rPr>
        <w:t xml:space="preserve"> </w:t>
      </w:r>
    </w:p>
    <w:p w:rsidR="00D11D3C" w:rsidRPr="00D11D3C" w:rsidRDefault="00D11D3C" w:rsidP="00CE15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1D3C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CE15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68E6">
        <w:rPr>
          <w:rFonts w:ascii="Times New Roman" w:hAnsi="Times New Roman"/>
          <w:b/>
          <w:color w:val="000000"/>
          <w:sz w:val="28"/>
          <w:szCs w:val="28"/>
        </w:rPr>
        <w:t xml:space="preserve">Гукасова Н.Р., </w:t>
      </w:r>
      <w:r w:rsidRPr="00D11D3C">
        <w:rPr>
          <w:rFonts w:ascii="Times New Roman" w:hAnsi="Times New Roman"/>
          <w:b/>
          <w:color w:val="000000"/>
          <w:sz w:val="28"/>
          <w:szCs w:val="28"/>
        </w:rPr>
        <w:t>Ляпу</w:t>
      </w:r>
      <w:r w:rsidR="00A368E6">
        <w:rPr>
          <w:rFonts w:ascii="Times New Roman" w:hAnsi="Times New Roman"/>
          <w:b/>
          <w:color w:val="000000"/>
          <w:sz w:val="28"/>
          <w:szCs w:val="28"/>
        </w:rPr>
        <w:t>нцова Е.В.</w:t>
      </w:r>
      <w:r w:rsidRPr="00D11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1D3C">
        <w:rPr>
          <w:rFonts w:ascii="Times New Roman" w:hAnsi="Times New Roman"/>
          <w:color w:val="000000"/>
          <w:sz w:val="28"/>
          <w:szCs w:val="28"/>
        </w:rPr>
        <w:t>Приоритетные инструменты сниж</w:t>
      </w:r>
      <w:r w:rsidRPr="00D11D3C">
        <w:rPr>
          <w:rFonts w:ascii="Times New Roman" w:hAnsi="Times New Roman"/>
          <w:color w:val="000000"/>
          <w:sz w:val="28"/>
          <w:szCs w:val="28"/>
        </w:rPr>
        <w:t>е</w:t>
      </w:r>
      <w:r w:rsidRPr="00D11D3C">
        <w:rPr>
          <w:rFonts w:ascii="Times New Roman" w:hAnsi="Times New Roman"/>
          <w:color w:val="000000"/>
          <w:sz w:val="28"/>
          <w:szCs w:val="28"/>
        </w:rPr>
        <w:t>ния энергоемкости национальной промышленности // Инженерный вестник Дона: электронный научно-инновационный журнал.</w:t>
      </w:r>
      <w:r w:rsidR="00EC5600">
        <w:rPr>
          <w:rFonts w:ascii="Times New Roman" w:hAnsi="Times New Roman"/>
          <w:color w:val="000000"/>
          <w:sz w:val="28"/>
          <w:szCs w:val="28"/>
        </w:rPr>
        <w:t>-</w:t>
      </w:r>
      <w:r w:rsidRPr="00D11D3C">
        <w:rPr>
          <w:rFonts w:ascii="Times New Roman" w:hAnsi="Times New Roman"/>
          <w:color w:val="000000"/>
          <w:sz w:val="28"/>
          <w:szCs w:val="28"/>
        </w:rPr>
        <w:t xml:space="preserve"> 2015.</w:t>
      </w:r>
      <w:r w:rsidR="00EC5600">
        <w:rPr>
          <w:rFonts w:ascii="Times New Roman" w:hAnsi="Times New Roman"/>
          <w:color w:val="000000"/>
          <w:sz w:val="28"/>
          <w:szCs w:val="28"/>
        </w:rPr>
        <w:t>-</w:t>
      </w:r>
      <w:r w:rsidRPr="00D11D3C">
        <w:rPr>
          <w:rFonts w:ascii="Times New Roman" w:hAnsi="Times New Roman"/>
          <w:color w:val="000000"/>
          <w:sz w:val="28"/>
          <w:szCs w:val="28"/>
        </w:rPr>
        <w:t xml:space="preserve"> № 1.</w:t>
      </w:r>
      <w:r w:rsidR="00A368E6">
        <w:rPr>
          <w:rFonts w:ascii="Times New Roman" w:hAnsi="Times New Roman"/>
          <w:color w:val="000000"/>
          <w:sz w:val="28"/>
          <w:szCs w:val="28"/>
        </w:rPr>
        <w:t xml:space="preserve">- 0,6 п.л. </w:t>
      </w:r>
      <w:r w:rsidR="00A368E6" w:rsidRPr="00D11D3C">
        <w:rPr>
          <w:rFonts w:ascii="Times New Roman" w:eastAsia="Calibri" w:hAnsi="Times New Roman"/>
          <w:sz w:val="28"/>
          <w:szCs w:val="28"/>
          <w:lang w:eastAsia="en-US"/>
        </w:rPr>
        <w:t>(авт.</w:t>
      </w:r>
      <w:r w:rsidR="00A368E6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368E6" w:rsidRPr="00D11D3C">
        <w:rPr>
          <w:rFonts w:ascii="Times New Roman" w:eastAsia="Calibri" w:hAnsi="Times New Roman"/>
          <w:sz w:val="28"/>
          <w:szCs w:val="28"/>
          <w:lang w:eastAsia="en-US"/>
        </w:rPr>
        <w:t>0,3</w:t>
      </w:r>
      <w:r w:rsidR="00A36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68E6" w:rsidRPr="00D11D3C">
        <w:rPr>
          <w:rFonts w:ascii="Times New Roman" w:eastAsia="Calibri" w:hAnsi="Times New Roman"/>
          <w:sz w:val="28"/>
          <w:szCs w:val="28"/>
          <w:lang w:eastAsia="en-US"/>
        </w:rPr>
        <w:t>п.л</w:t>
      </w:r>
      <w:r w:rsidR="00A368E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368E6" w:rsidRPr="00D11D3C">
        <w:rPr>
          <w:rFonts w:ascii="Times New Roman" w:eastAsia="Calibri" w:hAnsi="Times New Roman"/>
          <w:sz w:val="28"/>
          <w:szCs w:val="28"/>
          <w:lang w:eastAsia="en-US"/>
        </w:rPr>
        <w:t>).</w:t>
      </w:r>
      <w:r w:rsidRPr="00D11D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D3C" w:rsidRDefault="00D11D3C" w:rsidP="00CE15D9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D11D3C">
        <w:rPr>
          <w:rFonts w:ascii="Times New Roman" w:eastAsia="Calibri" w:hAnsi="Times New Roman"/>
          <w:b/>
          <w:sz w:val="28"/>
          <w:szCs w:val="28"/>
          <w:lang w:eastAsia="en-US"/>
        </w:rPr>
        <w:t>7.</w:t>
      </w:r>
      <w:r w:rsidRPr="00D11D3C">
        <w:rPr>
          <w:rFonts w:ascii="Times New Roman" w:hAnsi="Times New Roman"/>
          <w:b/>
          <w:sz w:val="28"/>
          <w:szCs w:val="28"/>
        </w:rPr>
        <w:t xml:space="preserve"> Гукасова Н.Р.</w:t>
      </w:r>
      <w:r w:rsidRPr="00D11D3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bookmarkStart w:id="0" w:name="_GoBack"/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Противоречия промышленной энергоемкости // Эле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к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тронный научный журнал «Гуманитарные и социальные науки».</w:t>
      </w:r>
      <w:r w:rsidR="00A368E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-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2015.</w:t>
      </w:r>
      <w:r w:rsidR="00A368E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-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№</w:t>
      </w:r>
      <w:r w:rsidR="00A368E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BB65D5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1</w:t>
      </w:r>
      <w:r w:rsidR="00A368E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-0,5</w:t>
      </w:r>
      <w:r w:rsidR="00A368E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Pr="00D11D3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п.л.</w:t>
      </w:r>
      <w:r w:rsidR="00CE15D9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</w:p>
    <w:p w:rsidR="00142DB1" w:rsidRPr="00D11D3C" w:rsidRDefault="00142DB1" w:rsidP="00CE15D9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bookmarkEnd w:id="0"/>
    <w:p w:rsidR="00DC52FB" w:rsidRPr="00975DF2" w:rsidRDefault="00DC52FB" w:rsidP="00AC12B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75DF2">
        <w:rPr>
          <w:rFonts w:ascii="Times New Roman" w:hAnsi="Times New Roman"/>
          <w:b/>
          <w:bCs/>
          <w:iCs/>
          <w:sz w:val="28"/>
          <w:szCs w:val="28"/>
        </w:rPr>
        <w:t>Публикации в других изданиях:</w:t>
      </w:r>
    </w:p>
    <w:p w:rsidR="00142DB1" w:rsidRPr="00142DB1" w:rsidRDefault="00142DB1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15D9" w:rsidRPr="00CE15D9" w:rsidRDefault="00CE15D9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8. Гукасова Н.Р.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Снижение энергоемкости промышленности как инстр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мент модернизации экономики / Материалы ХVII международной научно-практической конференции «Проблемы и перспективы социально-экономического реформирования современного государства и общества», г. Москва / Науч.-инф. издат. центр «Институ</w:t>
      </w:r>
      <w:r w:rsidR="00A368E6">
        <w:rPr>
          <w:rFonts w:ascii="Times New Roman" w:eastAsia="Calibri" w:hAnsi="Times New Roman"/>
          <w:bCs/>
          <w:sz w:val="28"/>
          <w:szCs w:val="28"/>
          <w:lang w:eastAsia="en-US"/>
        </w:rPr>
        <w:t>т стратегических исследований».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М.: 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зд-во «Институт стратегических исследований», 2014.- 0,4 п.л. </w:t>
      </w:r>
    </w:p>
    <w:p w:rsidR="00CE15D9" w:rsidRPr="00CE15D9" w:rsidRDefault="00CE15D9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15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9. </w:t>
      </w: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Гукасова Н.Р.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Проблемы энергоэффективности российской промы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ш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ленн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сти / Материалы XVI международной заочной научно-практической конференции "Теория и практика современной науки", г. Москва / Науч.-инф. издат. центр «Институт стратегических исследов</w:t>
      </w:r>
      <w:r w:rsidR="00A368E6">
        <w:rPr>
          <w:rFonts w:ascii="Times New Roman" w:eastAsia="Calibri" w:hAnsi="Times New Roman"/>
          <w:bCs/>
          <w:sz w:val="28"/>
          <w:szCs w:val="28"/>
          <w:lang w:eastAsia="en-US"/>
        </w:rPr>
        <w:t>аний».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М.: 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зд-во «Институт стратегических исследований», 2014.- 0,4 п.л. </w:t>
      </w:r>
    </w:p>
    <w:p w:rsidR="00CE15D9" w:rsidRPr="00CE15D9" w:rsidRDefault="00CE15D9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15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10. </w:t>
      </w: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Гукасова Н.Р.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Снижение энергоемкости российской промышленн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сти как приоритет экономической политики / Материалы XIII международной научно-практической конференции "Политика и право в социально-экономической системе общества", г. Москва / Науч.-инф. издат. центр «Институт стра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>тегических исследований».– М.: и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зд-во «Институт стратегич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ских исследований», 2014.- 0,4 п.л. </w:t>
      </w:r>
    </w:p>
    <w:p w:rsidR="00CE15D9" w:rsidRPr="00CE15D9" w:rsidRDefault="00CE15D9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11. Гукасова Н.Р.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Современные противоречия энергоемкости и энерг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эффективности отечественной промышленности / Материалы междунаро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ной научно-практической конференции "Экономика. Теория и практика. Перспективы </w:t>
      </w:r>
      <w:r w:rsidRPr="00CE15D9">
        <w:rPr>
          <w:rFonts w:ascii="Times New Roman" w:eastAsia="Calibri" w:hAnsi="Times New Roman"/>
          <w:bCs/>
          <w:sz w:val="28"/>
          <w:szCs w:val="28"/>
          <w:lang w:val="en-US" w:eastAsia="en-US"/>
        </w:rPr>
        <w:t>XXI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века"</w:t>
      </w:r>
      <w:r w:rsidR="00AB516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г. Саратов. - Саратов: 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зд-во ЦПМ «Академия Бизнеса», 2014.– 0,5 п.л. </w:t>
      </w:r>
    </w:p>
    <w:p w:rsidR="00CE15D9" w:rsidRPr="00CE15D9" w:rsidRDefault="00CE15D9" w:rsidP="00CE15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12. Гукасова Н.Р.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Тенденции энергоемкости российской промышленн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сти / Сборник ХXX международной научно-практической конференции "Современные тенденции в экономике и управлении: новый взгляд", г. Новосибирск.-</w:t>
      </w:r>
      <w:r w:rsidR="00AB51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Новосибирск: изд-во ЦРНС, 2014.</w:t>
      </w:r>
      <w:r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0,5 п.л. </w:t>
      </w:r>
    </w:p>
    <w:p w:rsidR="00C317D8" w:rsidRDefault="005423F7" w:rsidP="008A302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</w:t>
      </w: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Гукасова Н.Р.</w:t>
      </w:r>
      <w:r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03972">
        <w:rPr>
          <w:rFonts w:ascii="Times New Roman" w:eastAsia="Calibri" w:hAnsi="Times New Roman"/>
          <w:bCs/>
          <w:sz w:val="28"/>
          <w:szCs w:val="28"/>
          <w:lang w:eastAsia="en-US"/>
        </w:rPr>
        <w:t>Основы ф</w:t>
      </w:r>
      <w:r w:rsidR="00F57115">
        <w:rPr>
          <w:rFonts w:ascii="Times New Roman" w:eastAsia="Calibri" w:hAnsi="Times New Roman"/>
          <w:bCs/>
          <w:sz w:val="28"/>
          <w:szCs w:val="28"/>
          <w:lang w:eastAsia="en-US"/>
        </w:rPr>
        <w:t>ормировани</w:t>
      </w:r>
      <w:r w:rsidR="00B03972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="00F5711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энерго</w:t>
      </w:r>
      <w:r w:rsidR="00B0397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сервисных кластеров 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/ 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Материалы 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III Международной научно-практической конфере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ции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"Общество, наука, инновации"</w:t>
      </w:r>
      <w:r w:rsidR="00A028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г. Москва / Науч.-инф. издат. центр «Институт стра</w:t>
      </w:r>
      <w:r w:rsidR="00A02822">
        <w:rPr>
          <w:rFonts w:ascii="Times New Roman" w:eastAsia="Calibri" w:hAnsi="Times New Roman"/>
          <w:bCs/>
          <w:sz w:val="28"/>
          <w:szCs w:val="28"/>
          <w:lang w:eastAsia="en-US"/>
        </w:rPr>
        <w:t>тегических исследований».– М.: и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зд-во «Институт стратегич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ских исследований», 201</w:t>
      </w:r>
      <w:r w:rsidR="00A02822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A02822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.- 0,4 п.л.</w:t>
      </w:r>
      <w:r w:rsidR="00A028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C317D8" w:rsidRPr="008A3025" w:rsidRDefault="005423F7" w:rsidP="008A302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14</w:t>
      </w: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Гукасова Н.Р.</w:t>
      </w:r>
      <w:r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03972" w:rsidRPr="00B0397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Энергосервисные кластеры как механизм снижения энергоемкости российской промышленности 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/ II Международная научно-практическая конференция </w:t>
      </w:r>
      <w:r w:rsidR="006235EE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Вопр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A3025" w:rsidRPr="008A3025">
        <w:rPr>
          <w:rFonts w:ascii="Times New Roman" w:eastAsia="Calibri" w:hAnsi="Times New Roman"/>
          <w:bCs/>
          <w:sz w:val="28"/>
          <w:szCs w:val="28"/>
          <w:lang w:eastAsia="en-US"/>
        </w:rPr>
        <w:t>сы современной экономики и менеджмента: свежий взгляд и новые решения</w:t>
      </w:r>
      <w:r w:rsidR="006235EE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8A3025">
        <w:rPr>
          <w:rFonts w:ascii="Times New Roman" w:eastAsia="Calibri" w:hAnsi="Times New Roman"/>
          <w:bCs/>
          <w:sz w:val="28"/>
          <w:szCs w:val="28"/>
          <w:lang w:eastAsia="en-US"/>
        </w:rPr>
        <w:t>, г. Екатеринбург. – Екатеринбург:</w:t>
      </w:r>
      <w:r w:rsidR="00A028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изд-во ИЦРОН, 2015.- 0,4 п.л.</w:t>
      </w:r>
    </w:p>
    <w:p w:rsidR="006235EE" w:rsidRPr="006235EE" w:rsidRDefault="005423F7" w:rsidP="00F57115">
      <w:pPr>
        <w:spacing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15</w:t>
      </w:r>
      <w:r w:rsidRPr="00CE15D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Гукасова Н.Р.</w:t>
      </w:r>
      <w:r w:rsidRPr="006235E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03972" w:rsidRPr="00B0397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Механизм государственно-частного партнерства поддержки энергосервисных кластеров </w:t>
      </w:r>
      <w:r w:rsidR="006235EE" w:rsidRPr="006235E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/ II международная научно-практическая конференция </w:t>
      </w:r>
      <w:r w:rsidR="006235EE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6235EE" w:rsidRPr="006235EE">
        <w:rPr>
          <w:rFonts w:ascii="Times New Roman" w:eastAsia="Calibri" w:hAnsi="Times New Roman"/>
          <w:bCs/>
          <w:sz w:val="28"/>
          <w:szCs w:val="28"/>
          <w:lang w:eastAsia="en-US"/>
        </w:rPr>
        <w:t>Кризис XXI века вчера. Сегодня. Завтра</w:t>
      </w:r>
      <w:r w:rsidR="006235EE">
        <w:rPr>
          <w:rFonts w:ascii="Times New Roman" w:eastAsia="Calibri" w:hAnsi="Times New Roman"/>
          <w:bCs/>
          <w:sz w:val="28"/>
          <w:szCs w:val="28"/>
          <w:lang w:eastAsia="en-US"/>
        </w:rPr>
        <w:t>",</w:t>
      </w:r>
      <w:r w:rsidR="006235EE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г. Саратов. - Саратов: </w:t>
      </w:r>
      <w:r w:rsidR="006235E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6235EE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зд-во </w:t>
      </w:r>
      <w:r w:rsidR="00F57115" w:rsidRPr="00F57115">
        <w:rPr>
          <w:rFonts w:ascii="Times New Roman" w:eastAsia="Calibri" w:hAnsi="Times New Roman"/>
          <w:sz w:val="28"/>
          <w:szCs w:val="28"/>
          <w:lang w:eastAsia="en-US"/>
        </w:rPr>
        <w:t>Институт</w:t>
      </w:r>
      <w:r w:rsidR="00F571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57115" w:rsidRPr="00F57115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управления и социально-экономического развития</w:t>
      </w:r>
      <w:r w:rsidR="006235EE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, 201</w:t>
      </w:r>
      <w:r w:rsidR="00F5711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6235EE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>.– 0,</w:t>
      </w:r>
      <w:r w:rsidR="00F57115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6235EE" w:rsidRPr="00CE15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п.л.</w:t>
      </w:r>
      <w:r w:rsidR="00F5711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42DB1" w:rsidRDefault="00142DB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D5F" w:rsidRDefault="009F4D5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D5F" w:rsidRDefault="009F4D5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3467" w:rsidRDefault="001F3467" w:rsidP="00EE1B0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81A37" w:rsidRPr="0099112D" w:rsidRDefault="00F11255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>П</w:t>
      </w:r>
      <w:r w:rsidR="00F81A37" w:rsidRPr="0099112D">
        <w:rPr>
          <w:rFonts w:ascii="Times New Roman" w:hAnsi="Times New Roman"/>
          <w:sz w:val="28"/>
          <w:szCs w:val="28"/>
        </w:rPr>
        <w:t>одписано в печать /// ////////// 201</w:t>
      </w:r>
      <w:r w:rsidR="00497F64" w:rsidRPr="0099112D">
        <w:rPr>
          <w:rFonts w:ascii="Times New Roman" w:hAnsi="Times New Roman"/>
          <w:sz w:val="28"/>
          <w:szCs w:val="28"/>
        </w:rPr>
        <w:t>5</w:t>
      </w:r>
      <w:r w:rsidR="00F81A37" w:rsidRPr="0099112D">
        <w:rPr>
          <w:rFonts w:ascii="Times New Roman" w:hAnsi="Times New Roman"/>
          <w:sz w:val="28"/>
          <w:szCs w:val="28"/>
        </w:rPr>
        <w:t xml:space="preserve"> г.</w:t>
      </w:r>
    </w:p>
    <w:p w:rsidR="00F81A37" w:rsidRPr="0099112D" w:rsidRDefault="00F81A37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>Формат 60х84/16. Бумага типографская № 1</w:t>
      </w:r>
    </w:p>
    <w:p w:rsidR="00F81A37" w:rsidRPr="0099112D" w:rsidRDefault="00F81A37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 xml:space="preserve">Гарнитура Таймс. Усл. печ. л. </w:t>
      </w:r>
      <w:r w:rsidR="007F56B4" w:rsidRPr="0099112D">
        <w:rPr>
          <w:rFonts w:ascii="Times New Roman" w:hAnsi="Times New Roman"/>
          <w:sz w:val="28"/>
          <w:szCs w:val="28"/>
        </w:rPr>
        <w:t>1</w:t>
      </w:r>
      <w:r w:rsidR="00E828C7" w:rsidRPr="0099112D">
        <w:rPr>
          <w:rFonts w:ascii="Times New Roman" w:hAnsi="Times New Roman"/>
          <w:sz w:val="28"/>
          <w:szCs w:val="28"/>
        </w:rPr>
        <w:t>,</w:t>
      </w:r>
      <w:r w:rsidR="007F56B4" w:rsidRPr="0099112D">
        <w:rPr>
          <w:rFonts w:ascii="Times New Roman" w:hAnsi="Times New Roman"/>
          <w:sz w:val="28"/>
          <w:szCs w:val="28"/>
        </w:rPr>
        <w:t>0</w:t>
      </w:r>
      <w:r w:rsidRPr="0099112D">
        <w:rPr>
          <w:rFonts w:ascii="Times New Roman" w:hAnsi="Times New Roman"/>
          <w:sz w:val="28"/>
          <w:szCs w:val="28"/>
        </w:rPr>
        <w:t>. Тираж 100 экз. Заказ ///</w:t>
      </w:r>
    </w:p>
    <w:p w:rsidR="00E703FA" w:rsidRDefault="00E703FA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467" w:rsidRDefault="001F3467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467" w:rsidRDefault="001F3467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F3467" w:rsidSect="003114D7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48" w:rsidRDefault="00F25C48" w:rsidP="003105D5">
      <w:pPr>
        <w:spacing w:after="0" w:line="240" w:lineRule="auto"/>
      </w:pPr>
      <w:r>
        <w:separator/>
      </w:r>
    </w:p>
  </w:endnote>
  <w:endnote w:type="continuationSeparator" w:id="0">
    <w:p w:rsidR="00F25C48" w:rsidRDefault="00F25C48" w:rsidP="0031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0D" w:rsidRDefault="00D7760D" w:rsidP="00F40AF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60D" w:rsidRDefault="00D7760D" w:rsidP="00F40AF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0D" w:rsidRPr="009C44B5" w:rsidRDefault="00D7760D" w:rsidP="007462E3">
    <w:pPr>
      <w:pStyle w:val="a8"/>
      <w:framePr w:w="481" w:wrap="around" w:vAnchor="text" w:hAnchor="margin" w:xAlign="center" w:y="1"/>
      <w:rPr>
        <w:rStyle w:val="a7"/>
        <w:sz w:val="24"/>
      </w:rPr>
    </w:pPr>
    <w:r w:rsidRPr="009C44B5">
      <w:rPr>
        <w:rStyle w:val="a7"/>
        <w:sz w:val="24"/>
      </w:rPr>
      <w:fldChar w:fldCharType="begin"/>
    </w:r>
    <w:r w:rsidRPr="009C44B5">
      <w:rPr>
        <w:rStyle w:val="a7"/>
        <w:sz w:val="24"/>
      </w:rPr>
      <w:instrText xml:space="preserve">PAGE  </w:instrText>
    </w:r>
    <w:r w:rsidRPr="009C44B5">
      <w:rPr>
        <w:rStyle w:val="a7"/>
        <w:sz w:val="24"/>
      </w:rPr>
      <w:fldChar w:fldCharType="separate"/>
    </w:r>
    <w:r w:rsidR="00C91D0C">
      <w:rPr>
        <w:rStyle w:val="a7"/>
        <w:noProof/>
        <w:sz w:val="24"/>
      </w:rPr>
      <w:t>3</w:t>
    </w:r>
    <w:r w:rsidRPr="009C44B5">
      <w:rPr>
        <w:rStyle w:val="a7"/>
        <w:sz w:val="24"/>
      </w:rPr>
      <w:fldChar w:fldCharType="end"/>
    </w:r>
  </w:p>
  <w:p w:rsidR="00D7760D" w:rsidRDefault="00D7760D" w:rsidP="00F40AF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0D" w:rsidRPr="001F45CD" w:rsidRDefault="00D7760D" w:rsidP="00684F3B">
    <w:pPr>
      <w:pStyle w:val="a8"/>
      <w:jc w:val="center"/>
      <w:rPr>
        <w:sz w:val="24"/>
      </w:rPr>
    </w:pPr>
    <w:r w:rsidRPr="001F45CD">
      <w:rPr>
        <w:sz w:val="24"/>
      </w:rPr>
      <w:fldChar w:fldCharType="begin"/>
    </w:r>
    <w:r w:rsidRPr="001F45CD">
      <w:rPr>
        <w:sz w:val="24"/>
      </w:rPr>
      <w:instrText>PAGE   \* MERGEFORMAT</w:instrText>
    </w:r>
    <w:r w:rsidRPr="001F45CD">
      <w:rPr>
        <w:sz w:val="24"/>
      </w:rPr>
      <w:fldChar w:fldCharType="separate"/>
    </w:r>
    <w:r w:rsidR="00E82C42">
      <w:rPr>
        <w:noProof/>
        <w:sz w:val="24"/>
      </w:rPr>
      <w:t>24</w:t>
    </w:r>
    <w:r w:rsidRPr="001F45CD">
      <w:rPr>
        <w:sz w:val="24"/>
      </w:rPr>
      <w:fldChar w:fldCharType="end"/>
    </w:r>
  </w:p>
  <w:p w:rsidR="00D7760D" w:rsidRPr="004C0A65" w:rsidRDefault="00D7760D" w:rsidP="00684F3B">
    <w:pPr>
      <w:pStyle w:val="a8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48" w:rsidRDefault="00F25C48" w:rsidP="003105D5">
      <w:pPr>
        <w:spacing w:after="0" w:line="240" w:lineRule="auto"/>
      </w:pPr>
      <w:r>
        <w:separator/>
      </w:r>
    </w:p>
  </w:footnote>
  <w:footnote w:type="continuationSeparator" w:id="0">
    <w:p w:rsidR="00F25C48" w:rsidRDefault="00F25C48" w:rsidP="0031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0D" w:rsidRDefault="00D776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60D" w:rsidRDefault="00D77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AFB"/>
    <w:multiLevelType w:val="hybridMultilevel"/>
    <w:tmpl w:val="93A80CEA"/>
    <w:lvl w:ilvl="0" w:tplc="E4C4D54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F53"/>
    <w:multiLevelType w:val="hybridMultilevel"/>
    <w:tmpl w:val="11F68304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11974"/>
    <w:multiLevelType w:val="hybridMultilevel"/>
    <w:tmpl w:val="D87EF8AA"/>
    <w:lvl w:ilvl="0" w:tplc="9B2A408E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50538"/>
    <w:multiLevelType w:val="hybridMultilevel"/>
    <w:tmpl w:val="0A84C306"/>
    <w:lvl w:ilvl="0" w:tplc="05B8B2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E40F0C"/>
    <w:multiLevelType w:val="hybridMultilevel"/>
    <w:tmpl w:val="ECE0F3A4"/>
    <w:lvl w:ilvl="0" w:tplc="5AC496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376252B"/>
    <w:multiLevelType w:val="hybridMultilevel"/>
    <w:tmpl w:val="25E2D13A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445D2"/>
    <w:multiLevelType w:val="hybridMultilevel"/>
    <w:tmpl w:val="7FB0164C"/>
    <w:lvl w:ilvl="0" w:tplc="AD2CEF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C912EA"/>
    <w:multiLevelType w:val="hybridMultilevel"/>
    <w:tmpl w:val="96747A76"/>
    <w:lvl w:ilvl="0" w:tplc="EB00F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66AE"/>
    <w:multiLevelType w:val="hybridMultilevel"/>
    <w:tmpl w:val="F9D87F5A"/>
    <w:lvl w:ilvl="0" w:tplc="0AAE3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B990F3A"/>
    <w:multiLevelType w:val="hybridMultilevel"/>
    <w:tmpl w:val="C99C0318"/>
    <w:lvl w:ilvl="0" w:tplc="EB00F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D0983"/>
    <w:multiLevelType w:val="hybridMultilevel"/>
    <w:tmpl w:val="BC26AF24"/>
    <w:lvl w:ilvl="0" w:tplc="6B74BB1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0E43E72"/>
    <w:multiLevelType w:val="hybridMultilevel"/>
    <w:tmpl w:val="A4140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AF2B7B"/>
    <w:multiLevelType w:val="hybridMultilevel"/>
    <w:tmpl w:val="94262352"/>
    <w:lvl w:ilvl="0" w:tplc="5AC496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81D388F"/>
    <w:multiLevelType w:val="hybridMultilevel"/>
    <w:tmpl w:val="1DE2F0B6"/>
    <w:lvl w:ilvl="0" w:tplc="0924114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AAF6D9E"/>
    <w:multiLevelType w:val="hybridMultilevel"/>
    <w:tmpl w:val="053644C8"/>
    <w:lvl w:ilvl="0" w:tplc="A6CA1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05D95"/>
    <w:multiLevelType w:val="hybridMultilevel"/>
    <w:tmpl w:val="C56E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025D"/>
    <w:multiLevelType w:val="hybridMultilevel"/>
    <w:tmpl w:val="A68A6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1E6F15"/>
    <w:multiLevelType w:val="hybridMultilevel"/>
    <w:tmpl w:val="7F2C45F0"/>
    <w:lvl w:ilvl="0" w:tplc="2FAEB06A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6B10367"/>
    <w:multiLevelType w:val="hybridMultilevel"/>
    <w:tmpl w:val="58227A40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23EC7"/>
    <w:multiLevelType w:val="hybridMultilevel"/>
    <w:tmpl w:val="5B82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B3CF8"/>
    <w:multiLevelType w:val="hybridMultilevel"/>
    <w:tmpl w:val="4F8C3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E5571"/>
    <w:multiLevelType w:val="hybridMultilevel"/>
    <w:tmpl w:val="DFEE3326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63A3C"/>
    <w:multiLevelType w:val="hybridMultilevel"/>
    <w:tmpl w:val="89CCE51E"/>
    <w:lvl w:ilvl="0" w:tplc="5A222E9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F0FAA"/>
    <w:multiLevelType w:val="hybridMultilevel"/>
    <w:tmpl w:val="5118820A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177CC"/>
    <w:multiLevelType w:val="hybridMultilevel"/>
    <w:tmpl w:val="A3E87574"/>
    <w:lvl w:ilvl="0" w:tplc="BB1C9340"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011B5"/>
    <w:multiLevelType w:val="hybridMultilevel"/>
    <w:tmpl w:val="15442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0"/>
  </w:num>
  <w:num w:numId="6">
    <w:abstractNumId w:val="24"/>
  </w:num>
  <w:num w:numId="7">
    <w:abstractNumId w:val="13"/>
  </w:num>
  <w:num w:numId="8">
    <w:abstractNumId w:val="17"/>
  </w:num>
  <w:num w:numId="9">
    <w:abstractNumId w:val="4"/>
  </w:num>
  <w:num w:numId="10">
    <w:abstractNumId w:val="12"/>
  </w:num>
  <w:num w:numId="11">
    <w:abstractNumId w:val="18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25"/>
  </w:num>
  <w:num w:numId="18">
    <w:abstractNumId w:val="5"/>
  </w:num>
  <w:num w:numId="19">
    <w:abstractNumId w:val="1"/>
  </w:num>
  <w:num w:numId="20">
    <w:abstractNumId w:val="0"/>
  </w:num>
  <w:num w:numId="21">
    <w:abstractNumId w:val="6"/>
  </w:num>
  <w:num w:numId="22">
    <w:abstractNumId w:val="15"/>
  </w:num>
  <w:num w:numId="23">
    <w:abstractNumId w:val="19"/>
  </w:num>
  <w:num w:numId="24">
    <w:abstractNumId w:val="10"/>
  </w:num>
  <w:num w:numId="25">
    <w:abstractNumId w:val="14"/>
  </w:num>
  <w:num w:numId="26">
    <w:abstractNumId w:val="7"/>
  </w:num>
  <w:num w:numId="27">
    <w:abstractNumId w:val="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2"/>
  <w:hyphenationZone w:val="1701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0379"/>
    <w:rsid w:val="00001355"/>
    <w:rsid w:val="000066BF"/>
    <w:rsid w:val="0001066E"/>
    <w:rsid w:val="000116FF"/>
    <w:rsid w:val="00011EE8"/>
    <w:rsid w:val="0001272C"/>
    <w:rsid w:val="00012C7C"/>
    <w:rsid w:val="00014E17"/>
    <w:rsid w:val="00015320"/>
    <w:rsid w:val="00016764"/>
    <w:rsid w:val="00017AE7"/>
    <w:rsid w:val="00020965"/>
    <w:rsid w:val="00022ED3"/>
    <w:rsid w:val="00023033"/>
    <w:rsid w:val="00023A3F"/>
    <w:rsid w:val="00023B64"/>
    <w:rsid w:val="00023F50"/>
    <w:rsid w:val="00025A67"/>
    <w:rsid w:val="00025C4F"/>
    <w:rsid w:val="00027C00"/>
    <w:rsid w:val="00031857"/>
    <w:rsid w:val="00031DCA"/>
    <w:rsid w:val="00032E91"/>
    <w:rsid w:val="00032F01"/>
    <w:rsid w:val="000333A6"/>
    <w:rsid w:val="00033C97"/>
    <w:rsid w:val="00033EF3"/>
    <w:rsid w:val="00036267"/>
    <w:rsid w:val="0003633D"/>
    <w:rsid w:val="00036B30"/>
    <w:rsid w:val="00040E22"/>
    <w:rsid w:val="00041B30"/>
    <w:rsid w:val="00041B82"/>
    <w:rsid w:val="00041E82"/>
    <w:rsid w:val="0004305E"/>
    <w:rsid w:val="000435D4"/>
    <w:rsid w:val="00043CAE"/>
    <w:rsid w:val="00044919"/>
    <w:rsid w:val="00044CCD"/>
    <w:rsid w:val="00045B26"/>
    <w:rsid w:val="00045CE8"/>
    <w:rsid w:val="0004705D"/>
    <w:rsid w:val="0004744F"/>
    <w:rsid w:val="00053B64"/>
    <w:rsid w:val="00053ED7"/>
    <w:rsid w:val="00055195"/>
    <w:rsid w:val="0005538F"/>
    <w:rsid w:val="0005591B"/>
    <w:rsid w:val="00056203"/>
    <w:rsid w:val="00057D53"/>
    <w:rsid w:val="000603ED"/>
    <w:rsid w:val="00060768"/>
    <w:rsid w:val="00060BC6"/>
    <w:rsid w:val="00061EB6"/>
    <w:rsid w:val="00063EF1"/>
    <w:rsid w:val="00065CA5"/>
    <w:rsid w:val="00066DED"/>
    <w:rsid w:val="00066E9B"/>
    <w:rsid w:val="00067228"/>
    <w:rsid w:val="00067977"/>
    <w:rsid w:val="000706A0"/>
    <w:rsid w:val="000712D4"/>
    <w:rsid w:val="00072199"/>
    <w:rsid w:val="000748F3"/>
    <w:rsid w:val="00074D48"/>
    <w:rsid w:val="00076947"/>
    <w:rsid w:val="00076E83"/>
    <w:rsid w:val="00077850"/>
    <w:rsid w:val="000812D0"/>
    <w:rsid w:val="0008145C"/>
    <w:rsid w:val="0008179F"/>
    <w:rsid w:val="00082B12"/>
    <w:rsid w:val="000831F6"/>
    <w:rsid w:val="00083BBE"/>
    <w:rsid w:val="00084039"/>
    <w:rsid w:val="00084E0B"/>
    <w:rsid w:val="00084FE6"/>
    <w:rsid w:val="000855DF"/>
    <w:rsid w:val="00087154"/>
    <w:rsid w:val="0009012C"/>
    <w:rsid w:val="00090892"/>
    <w:rsid w:val="0009095A"/>
    <w:rsid w:val="00091BDF"/>
    <w:rsid w:val="00091EB4"/>
    <w:rsid w:val="00092AF8"/>
    <w:rsid w:val="00095207"/>
    <w:rsid w:val="00095518"/>
    <w:rsid w:val="000A2329"/>
    <w:rsid w:val="000A3E8E"/>
    <w:rsid w:val="000A6964"/>
    <w:rsid w:val="000A7CB5"/>
    <w:rsid w:val="000B00C0"/>
    <w:rsid w:val="000B0A75"/>
    <w:rsid w:val="000B1848"/>
    <w:rsid w:val="000B2DB3"/>
    <w:rsid w:val="000B32AA"/>
    <w:rsid w:val="000B4AFA"/>
    <w:rsid w:val="000B4E21"/>
    <w:rsid w:val="000B4F72"/>
    <w:rsid w:val="000B52CC"/>
    <w:rsid w:val="000B5DB2"/>
    <w:rsid w:val="000C0379"/>
    <w:rsid w:val="000C05B4"/>
    <w:rsid w:val="000C1C3A"/>
    <w:rsid w:val="000C22CA"/>
    <w:rsid w:val="000C34F9"/>
    <w:rsid w:val="000C3A44"/>
    <w:rsid w:val="000C5341"/>
    <w:rsid w:val="000C54D6"/>
    <w:rsid w:val="000C5CA7"/>
    <w:rsid w:val="000C683A"/>
    <w:rsid w:val="000C6EBE"/>
    <w:rsid w:val="000C786A"/>
    <w:rsid w:val="000C7B9D"/>
    <w:rsid w:val="000C7CBB"/>
    <w:rsid w:val="000D0394"/>
    <w:rsid w:val="000D0B8B"/>
    <w:rsid w:val="000D0F47"/>
    <w:rsid w:val="000D15BC"/>
    <w:rsid w:val="000D1849"/>
    <w:rsid w:val="000D1AA8"/>
    <w:rsid w:val="000D1C59"/>
    <w:rsid w:val="000D1EF5"/>
    <w:rsid w:val="000D28F1"/>
    <w:rsid w:val="000D29F3"/>
    <w:rsid w:val="000D2EBA"/>
    <w:rsid w:val="000D4085"/>
    <w:rsid w:val="000D4316"/>
    <w:rsid w:val="000D52E3"/>
    <w:rsid w:val="000D561A"/>
    <w:rsid w:val="000D63C6"/>
    <w:rsid w:val="000D65DC"/>
    <w:rsid w:val="000D6E11"/>
    <w:rsid w:val="000D75A3"/>
    <w:rsid w:val="000D7B55"/>
    <w:rsid w:val="000E01EC"/>
    <w:rsid w:val="000E094D"/>
    <w:rsid w:val="000E1FF5"/>
    <w:rsid w:val="000E299D"/>
    <w:rsid w:val="000E3020"/>
    <w:rsid w:val="000E3172"/>
    <w:rsid w:val="000E333A"/>
    <w:rsid w:val="000E3551"/>
    <w:rsid w:val="000E3ACC"/>
    <w:rsid w:val="000E4CDD"/>
    <w:rsid w:val="000E4DB2"/>
    <w:rsid w:val="000E5446"/>
    <w:rsid w:val="000E57E6"/>
    <w:rsid w:val="000E66A2"/>
    <w:rsid w:val="000E7B02"/>
    <w:rsid w:val="000F182D"/>
    <w:rsid w:val="000F2345"/>
    <w:rsid w:val="000F2BCE"/>
    <w:rsid w:val="000F3C90"/>
    <w:rsid w:val="000F5FB9"/>
    <w:rsid w:val="000F601A"/>
    <w:rsid w:val="000F650A"/>
    <w:rsid w:val="000F7084"/>
    <w:rsid w:val="000F7884"/>
    <w:rsid w:val="000F7998"/>
    <w:rsid w:val="0010129A"/>
    <w:rsid w:val="0010242E"/>
    <w:rsid w:val="001027BE"/>
    <w:rsid w:val="001033B3"/>
    <w:rsid w:val="001040AF"/>
    <w:rsid w:val="001049A8"/>
    <w:rsid w:val="0010508C"/>
    <w:rsid w:val="00105A19"/>
    <w:rsid w:val="001100D8"/>
    <w:rsid w:val="001111A8"/>
    <w:rsid w:val="00111B3D"/>
    <w:rsid w:val="00112263"/>
    <w:rsid w:val="001128B2"/>
    <w:rsid w:val="00113E6B"/>
    <w:rsid w:val="0011467C"/>
    <w:rsid w:val="001155DC"/>
    <w:rsid w:val="00116484"/>
    <w:rsid w:val="00116E26"/>
    <w:rsid w:val="00117B2C"/>
    <w:rsid w:val="00117E76"/>
    <w:rsid w:val="00123AC1"/>
    <w:rsid w:val="0012435C"/>
    <w:rsid w:val="001253E8"/>
    <w:rsid w:val="001272DB"/>
    <w:rsid w:val="001274CF"/>
    <w:rsid w:val="001301FA"/>
    <w:rsid w:val="0013079A"/>
    <w:rsid w:val="001312DB"/>
    <w:rsid w:val="001313AB"/>
    <w:rsid w:val="0013292E"/>
    <w:rsid w:val="0013678B"/>
    <w:rsid w:val="00140A32"/>
    <w:rsid w:val="0014134C"/>
    <w:rsid w:val="00142DB1"/>
    <w:rsid w:val="00143A88"/>
    <w:rsid w:val="00144DE5"/>
    <w:rsid w:val="00145BF0"/>
    <w:rsid w:val="00146E27"/>
    <w:rsid w:val="00147C3A"/>
    <w:rsid w:val="001518C4"/>
    <w:rsid w:val="00152002"/>
    <w:rsid w:val="00152149"/>
    <w:rsid w:val="00152C79"/>
    <w:rsid w:val="0015324A"/>
    <w:rsid w:val="00154507"/>
    <w:rsid w:val="00155DCB"/>
    <w:rsid w:val="001571D4"/>
    <w:rsid w:val="00157F14"/>
    <w:rsid w:val="00160037"/>
    <w:rsid w:val="0016004D"/>
    <w:rsid w:val="00161A4E"/>
    <w:rsid w:val="00161DEE"/>
    <w:rsid w:val="001635EC"/>
    <w:rsid w:val="00164100"/>
    <w:rsid w:val="001646B1"/>
    <w:rsid w:val="00166BA0"/>
    <w:rsid w:val="001671DD"/>
    <w:rsid w:val="00167E69"/>
    <w:rsid w:val="00171440"/>
    <w:rsid w:val="00171A60"/>
    <w:rsid w:val="00172B26"/>
    <w:rsid w:val="001743A8"/>
    <w:rsid w:val="00175B63"/>
    <w:rsid w:val="001764B9"/>
    <w:rsid w:val="001766F8"/>
    <w:rsid w:val="00176D2C"/>
    <w:rsid w:val="001770CA"/>
    <w:rsid w:val="00180B4B"/>
    <w:rsid w:val="00180DB5"/>
    <w:rsid w:val="00180F5C"/>
    <w:rsid w:val="00181FA0"/>
    <w:rsid w:val="001822AC"/>
    <w:rsid w:val="00182484"/>
    <w:rsid w:val="00182B8F"/>
    <w:rsid w:val="001835A7"/>
    <w:rsid w:val="00183BC1"/>
    <w:rsid w:val="001844B8"/>
    <w:rsid w:val="00185051"/>
    <w:rsid w:val="001852E3"/>
    <w:rsid w:val="00185997"/>
    <w:rsid w:val="00185EE7"/>
    <w:rsid w:val="001867C9"/>
    <w:rsid w:val="00186B9B"/>
    <w:rsid w:val="00191ACB"/>
    <w:rsid w:val="00192894"/>
    <w:rsid w:val="00192CE4"/>
    <w:rsid w:val="00193D73"/>
    <w:rsid w:val="00194687"/>
    <w:rsid w:val="00195540"/>
    <w:rsid w:val="0019612E"/>
    <w:rsid w:val="00197D43"/>
    <w:rsid w:val="001A1AC6"/>
    <w:rsid w:val="001A290C"/>
    <w:rsid w:val="001A343E"/>
    <w:rsid w:val="001A43C4"/>
    <w:rsid w:val="001A485F"/>
    <w:rsid w:val="001A5BCF"/>
    <w:rsid w:val="001A6441"/>
    <w:rsid w:val="001B06E7"/>
    <w:rsid w:val="001B075C"/>
    <w:rsid w:val="001B1AA8"/>
    <w:rsid w:val="001B4175"/>
    <w:rsid w:val="001B4AE5"/>
    <w:rsid w:val="001B4E11"/>
    <w:rsid w:val="001B6487"/>
    <w:rsid w:val="001B65EB"/>
    <w:rsid w:val="001C0077"/>
    <w:rsid w:val="001C06DC"/>
    <w:rsid w:val="001C1E3B"/>
    <w:rsid w:val="001C2CB9"/>
    <w:rsid w:val="001C33D7"/>
    <w:rsid w:val="001C3AC1"/>
    <w:rsid w:val="001C3C93"/>
    <w:rsid w:val="001C6443"/>
    <w:rsid w:val="001C78BB"/>
    <w:rsid w:val="001D1254"/>
    <w:rsid w:val="001D20CB"/>
    <w:rsid w:val="001D2B14"/>
    <w:rsid w:val="001D371C"/>
    <w:rsid w:val="001D418C"/>
    <w:rsid w:val="001D5680"/>
    <w:rsid w:val="001D5B58"/>
    <w:rsid w:val="001D65ED"/>
    <w:rsid w:val="001D69CE"/>
    <w:rsid w:val="001E0819"/>
    <w:rsid w:val="001E30F1"/>
    <w:rsid w:val="001E3B3D"/>
    <w:rsid w:val="001E46F2"/>
    <w:rsid w:val="001E4E08"/>
    <w:rsid w:val="001E5229"/>
    <w:rsid w:val="001E59F4"/>
    <w:rsid w:val="001E70E4"/>
    <w:rsid w:val="001F0086"/>
    <w:rsid w:val="001F02C0"/>
    <w:rsid w:val="001F283F"/>
    <w:rsid w:val="001F3467"/>
    <w:rsid w:val="001F3B1D"/>
    <w:rsid w:val="001F41C5"/>
    <w:rsid w:val="001F45CD"/>
    <w:rsid w:val="001F46D6"/>
    <w:rsid w:val="001F521F"/>
    <w:rsid w:val="001F5229"/>
    <w:rsid w:val="001F5BDD"/>
    <w:rsid w:val="00202871"/>
    <w:rsid w:val="00202ACB"/>
    <w:rsid w:val="0020334F"/>
    <w:rsid w:val="00203552"/>
    <w:rsid w:val="00203678"/>
    <w:rsid w:val="00203A9B"/>
    <w:rsid w:val="00203B3B"/>
    <w:rsid w:val="0020531D"/>
    <w:rsid w:val="002068C7"/>
    <w:rsid w:val="00210584"/>
    <w:rsid w:val="00210A93"/>
    <w:rsid w:val="00212081"/>
    <w:rsid w:val="00213D76"/>
    <w:rsid w:val="00214343"/>
    <w:rsid w:val="00214B3A"/>
    <w:rsid w:val="00215DFE"/>
    <w:rsid w:val="00220515"/>
    <w:rsid w:val="00220934"/>
    <w:rsid w:val="002216A8"/>
    <w:rsid w:val="00222417"/>
    <w:rsid w:val="00222BE3"/>
    <w:rsid w:val="002238D0"/>
    <w:rsid w:val="0022575C"/>
    <w:rsid w:val="00226DF3"/>
    <w:rsid w:val="002271D7"/>
    <w:rsid w:val="00230F3E"/>
    <w:rsid w:val="002311EF"/>
    <w:rsid w:val="0023305A"/>
    <w:rsid w:val="00233226"/>
    <w:rsid w:val="00235898"/>
    <w:rsid w:val="00235B0B"/>
    <w:rsid w:val="00236F2B"/>
    <w:rsid w:val="00240C0C"/>
    <w:rsid w:val="00241C12"/>
    <w:rsid w:val="0024218D"/>
    <w:rsid w:val="00242F9D"/>
    <w:rsid w:val="002435E4"/>
    <w:rsid w:val="002443A9"/>
    <w:rsid w:val="0024633A"/>
    <w:rsid w:val="002475DD"/>
    <w:rsid w:val="00250373"/>
    <w:rsid w:val="00251374"/>
    <w:rsid w:val="00251616"/>
    <w:rsid w:val="00251819"/>
    <w:rsid w:val="002524D0"/>
    <w:rsid w:val="0025318C"/>
    <w:rsid w:val="00255052"/>
    <w:rsid w:val="00257556"/>
    <w:rsid w:val="0025783D"/>
    <w:rsid w:val="0025798C"/>
    <w:rsid w:val="00261EA6"/>
    <w:rsid w:val="00262489"/>
    <w:rsid w:val="002631ED"/>
    <w:rsid w:val="00263D41"/>
    <w:rsid w:val="00264BBB"/>
    <w:rsid w:val="00264CDE"/>
    <w:rsid w:val="002669BF"/>
    <w:rsid w:val="002671B6"/>
    <w:rsid w:val="00271CD8"/>
    <w:rsid w:val="0027376F"/>
    <w:rsid w:val="00274530"/>
    <w:rsid w:val="00274AF7"/>
    <w:rsid w:val="00276EF0"/>
    <w:rsid w:val="00277A1A"/>
    <w:rsid w:val="002807BE"/>
    <w:rsid w:val="002813C4"/>
    <w:rsid w:val="002825B6"/>
    <w:rsid w:val="0028640D"/>
    <w:rsid w:val="00286DEB"/>
    <w:rsid w:val="00292B8D"/>
    <w:rsid w:val="00292FDE"/>
    <w:rsid w:val="00293B5F"/>
    <w:rsid w:val="00293BC8"/>
    <w:rsid w:val="00294DB9"/>
    <w:rsid w:val="00296CD9"/>
    <w:rsid w:val="00297816"/>
    <w:rsid w:val="00297FA9"/>
    <w:rsid w:val="002A0BA7"/>
    <w:rsid w:val="002A17ED"/>
    <w:rsid w:val="002A216C"/>
    <w:rsid w:val="002A270B"/>
    <w:rsid w:val="002A325E"/>
    <w:rsid w:val="002A42A0"/>
    <w:rsid w:val="002A6F52"/>
    <w:rsid w:val="002A73D2"/>
    <w:rsid w:val="002A77E9"/>
    <w:rsid w:val="002A7FC7"/>
    <w:rsid w:val="002B0BDE"/>
    <w:rsid w:val="002B1993"/>
    <w:rsid w:val="002B2E98"/>
    <w:rsid w:val="002B3CCE"/>
    <w:rsid w:val="002B4649"/>
    <w:rsid w:val="002B63D1"/>
    <w:rsid w:val="002B6788"/>
    <w:rsid w:val="002C04C8"/>
    <w:rsid w:val="002C1549"/>
    <w:rsid w:val="002C16D7"/>
    <w:rsid w:val="002C4037"/>
    <w:rsid w:val="002C49B3"/>
    <w:rsid w:val="002C6127"/>
    <w:rsid w:val="002C7412"/>
    <w:rsid w:val="002C7597"/>
    <w:rsid w:val="002D0FB6"/>
    <w:rsid w:val="002D1F61"/>
    <w:rsid w:val="002D2995"/>
    <w:rsid w:val="002D2A61"/>
    <w:rsid w:val="002D4251"/>
    <w:rsid w:val="002D4872"/>
    <w:rsid w:val="002D4A8F"/>
    <w:rsid w:val="002D5716"/>
    <w:rsid w:val="002E0F3A"/>
    <w:rsid w:val="002E21D7"/>
    <w:rsid w:val="002E2480"/>
    <w:rsid w:val="002E33FF"/>
    <w:rsid w:val="002E49A2"/>
    <w:rsid w:val="002E6A1C"/>
    <w:rsid w:val="002F3DA3"/>
    <w:rsid w:val="002F41C3"/>
    <w:rsid w:val="002F511C"/>
    <w:rsid w:val="002F62B1"/>
    <w:rsid w:val="002F6DB3"/>
    <w:rsid w:val="002F7201"/>
    <w:rsid w:val="002F7BFF"/>
    <w:rsid w:val="002F7CDD"/>
    <w:rsid w:val="003002A4"/>
    <w:rsid w:val="003002D7"/>
    <w:rsid w:val="00300792"/>
    <w:rsid w:val="00300F08"/>
    <w:rsid w:val="003011CD"/>
    <w:rsid w:val="0030161A"/>
    <w:rsid w:val="00301B67"/>
    <w:rsid w:val="003025C6"/>
    <w:rsid w:val="003027EB"/>
    <w:rsid w:val="0030284B"/>
    <w:rsid w:val="0030581C"/>
    <w:rsid w:val="00306A4D"/>
    <w:rsid w:val="003076EA"/>
    <w:rsid w:val="0031018C"/>
    <w:rsid w:val="003105D5"/>
    <w:rsid w:val="00310964"/>
    <w:rsid w:val="003114D7"/>
    <w:rsid w:val="00311ADD"/>
    <w:rsid w:val="00312C23"/>
    <w:rsid w:val="003138F6"/>
    <w:rsid w:val="00314881"/>
    <w:rsid w:val="00314AA4"/>
    <w:rsid w:val="00314B7F"/>
    <w:rsid w:val="00314D96"/>
    <w:rsid w:val="0032023D"/>
    <w:rsid w:val="00320940"/>
    <w:rsid w:val="00321009"/>
    <w:rsid w:val="00321073"/>
    <w:rsid w:val="00321C33"/>
    <w:rsid w:val="00323823"/>
    <w:rsid w:val="00323D66"/>
    <w:rsid w:val="003267F7"/>
    <w:rsid w:val="003271DA"/>
    <w:rsid w:val="00330CD6"/>
    <w:rsid w:val="003336B8"/>
    <w:rsid w:val="00334197"/>
    <w:rsid w:val="003344C9"/>
    <w:rsid w:val="00335942"/>
    <w:rsid w:val="003363FF"/>
    <w:rsid w:val="00336554"/>
    <w:rsid w:val="0033660D"/>
    <w:rsid w:val="003411EB"/>
    <w:rsid w:val="00341F2B"/>
    <w:rsid w:val="00343166"/>
    <w:rsid w:val="00343512"/>
    <w:rsid w:val="003455EC"/>
    <w:rsid w:val="00345DA2"/>
    <w:rsid w:val="00346921"/>
    <w:rsid w:val="00346E2E"/>
    <w:rsid w:val="003477F7"/>
    <w:rsid w:val="00350994"/>
    <w:rsid w:val="003520BB"/>
    <w:rsid w:val="00354814"/>
    <w:rsid w:val="00356F01"/>
    <w:rsid w:val="00356FA5"/>
    <w:rsid w:val="003573F7"/>
    <w:rsid w:val="00357F22"/>
    <w:rsid w:val="003626FA"/>
    <w:rsid w:val="00362963"/>
    <w:rsid w:val="00363030"/>
    <w:rsid w:val="00363C4A"/>
    <w:rsid w:val="00363C93"/>
    <w:rsid w:val="00363D53"/>
    <w:rsid w:val="00364A3D"/>
    <w:rsid w:val="00365FD3"/>
    <w:rsid w:val="00367661"/>
    <w:rsid w:val="00367F39"/>
    <w:rsid w:val="003709C1"/>
    <w:rsid w:val="00371012"/>
    <w:rsid w:val="003716D7"/>
    <w:rsid w:val="00371D5F"/>
    <w:rsid w:val="00372940"/>
    <w:rsid w:val="00373191"/>
    <w:rsid w:val="00373614"/>
    <w:rsid w:val="003753A0"/>
    <w:rsid w:val="00375799"/>
    <w:rsid w:val="00375A99"/>
    <w:rsid w:val="003763D5"/>
    <w:rsid w:val="00380A69"/>
    <w:rsid w:val="003823D6"/>
    <w:rsid w:val="003827CB"/>
    <w:rsid w:val="003831CD"/>
    <w:rsid w:val="0038589F"/>
    <w:rsid w:val="00385E91"/>
    <w:rsid w:val="003864B5"/>
    <w:rsid w:val="00391A0A"/>
    <w:rsid w:val="00391EC1"/>
    <w:rsid w:val="00393441"/>
    <w:rsid w:val="00393EC8"/>
    <w:rsid w:val="00394D78"/>
    <w:rsid w:val="0039527D"/>
    <w:rsid w:val="00396036"/>
    <w:rsid w:val="003A048D"/>
    <w:rsid w:val="003A0EE2"/>
    <w:rsid w:val="003A111F"/>
    <w:rsid w:val="003A13B0"/>
    <w:rsid w:val="003A30A4"/>
    <w:rsid w:val="003A43D6"/>
    <w:rsid w:val="003A4AB6"/>
    <w:rsid w:val="003A65B3"/>
    <w:rsid w:val="003A684F"/>
    <w:rsid w:val="003B08AD"/>
    <w:rsid w:val="003B101F"/>
    <w:rsid w:val="003B22C3"/>
    <w:rsid w:val="003B256A"/>
    <w:rsid w:val="003B2CEE"/>
    <w:rsid w:val="003B3078"/>
    <w:rsid w:val="003B5F1C"/>
    <w:rsid w:val="003B6D71"/>
    <w:rsid w:val="003B76DE"/>
    <w:rsid w:val="003B7723"/>
    <w:rsid w:val="003C00C0"/>
    <w:rsid w:val="003C00C9"/>
    <w:rsid w:val="003C06D4"/>
    <w:rsid w:val="003C3003"/>
    <w:rsid w:val="003C3EDB"/>
    <w:rsid w:val="003C4EAA"/>
    <w:rsid w:val="003C6786"/>
    <w:rsid w:val="003C6F72"/>
    <w:rsid w:val="003C75C3"/>
    <w:rsid w:val="003D010E"/>
    <w:rsid w:val="003D2C59"/>
    <w:rsid w:val="003D2E01"/>
    <w:rsid w:val="003D2E8C"/>
    <w:rsid w:val="003D2F1C"/>
    <w:rsid w:val="003D3972"/>
    <w:rsid w:val="003D44A6"/>
    <w:rsid w:val="003D61C9"/>
    <w:rsid w:val="003D641D"/>
    <w:rsid w:val="003D648F"/>
    <w:rsid w:val="003E53D5"/>
    <w:rsid w:val="003F0A10"/>
    <w:rsid w:val="003F0BF7"/>
    <w:rsid w:val="003F6606"/>
    <w:rsid w:val="003F69D3"/>
    <w:rsid w:val="003F6AEC"/>
    <w:rsid w:val="003F7207"/>
    <w:rsid w:val="003F7541"/>
    <w:rsid w:val="003F7898"/>
    <w:rsid w:val="00400C60"/>
    <w:rsid w:val="00400FC2"/>
    <w:rsid w:val="0040471E"/>
    <w:rsid w:val="00404ED8"/>
    <w:rsid w:val="00405C74"/>
    <w:rsid w:val="004074EC"/>
    <w:rsid w:val="0041035C"/>
    <w:rsid w:val="00411D24"/>
    <w:rsid w:val="00412112"/>
    <w:rsid w:val="00412309"/>
    <w:rsid w:val="00413ACD"/>
    <w:rsid w:val="00413EE0"/>
    <w:rsid w:val="0041433E"/>
    <w:rsid w:val="0041437F"/>
    <w:rsid w:val="00415CCB"/>
    <w:rsid w:val="00420519"/>
    <w:rsid w:val="00424055"/>
    <w:rsid w:val="00424135"/>
    <w:rsid w:val="00425630"/>
    <w:rsid w:val="004264F3"/>
    <w:rsid w:val="00427D65"/>
    <w:rsid w:val="00430B34"/>
    <w:rsid w:val="00430FF6"/>
    <w:rsid w:val="004312E4"/>
    <w:rsid w:val="00431DEE"/>
    <w:rsid w:val="00431FF1"/>
    <w:rsid w:val="00432C27"/>
    <w:rsid w:val="0043492E"/>
    <w:rsid w:val="00434ABB"/>
    <w:rsid w:val="004353C9"/>
    <w:rsid w:val="004371E0"/>
    <w:rsid w:val="00440266"/>
    <w:rsid w:val="0044235D"/>
    <w:rsid w:val="004423B5"/>
    <w:rsid w:val="004429E1"/>
    <w:rsid w:val="00443BE3"/>
    <w:rsid w:val="0044462D"/>
    <w:rsid w:val="00444A44"/>
    <w:rsid w:val="00444D36"/>
    <w:rsid w:val="00446CC4"/>
    <w:rsid w:val="0044767F"/>
    <w:rsid w:val="00451A0D"/>
    <w:rsid w:val="00451DA0"/>
    <w:rsid w:val="004522B3"/>
    <w:rsid w:val="00452DE6"/>
    <w:rsid w:val="004532FD"/>
    <w:rsid w:val="00453738"/>
    <w:rsid w:val="00454266"/>
    <w:rsid w:val="004547C7"/>
    <w:rsid w:val="004554DE"/>
    <w:rsid w:val="00455C16"/>
    <w:rsid w:val="004561BD"/>
    <w:rsid w:val="00456845"/>
    <w:rsid w:val="004611FF"/>
    <w:rsid w:val="004628C4"/>
    <w:rsid w:val="00463DB0"/>
    <w:rsid w:val="00463F0A"/>
    <w:rsid w:val="00465715"/>
    <w:rsid w:val="0046677E"/>
    <w:rsid w:val="0046736C"/>
    <w:rsid w:val="00467E09"/>
    <w:rsid w:val="00470F92"/>
    <w:rsid w:val="00471BCE"/>
    <w:rsid w:val="004731E1"/>
    <w:rsid w:val="00474753"/>
    <w:rsid w:val="00474CA4"/>
    <w:rsid w:val="0047676C"/>
    <w:rsid w:val="00477B6D"/>
    <w:rsid w:val="004803ED"/>
    <w:rsid w:val="00480A18"/>
    <w:rsid w:val="00484887"/>
    <w:rsid w:val="00484CA2"/>
    <w:rsid w:val="0048508E"/>
    <w:rsid w:val="004859FE"/>
    <w:rsid w:val="00485D4A"/>
    <w:rsid w:val="00486754"/>
    <w:rsid w:val="0048684E"/>
    <w:rsid w:val="004872B0"/>
    <w:rsid w:val="0049339C"/>
    <w:rsid w:val="00493567"/>
    <w:rsid w:val="00493C43"/>
    <w:rsid w:val="00493E60"/>
    <w:rsid w:val="0049410F"/>
    <w:rsid w:val="00495F51"/>
    <w:rsid w:val="0049786D"/>
    <w:rsid w:val="00497F64"/>
    <w:rsid w:val="004A03C8"/>
    <w:rsid w:val="004A1BAA"/>
    <w:rsid w:val="004A43EB"/>
    <w:rsid w:val="004A4953"/>
    <w:rsid w:val="004A5C5B"/>
    <w:rsid w:val="004A644A"/>
    <w:rsid w:val="004A68D4"/>
    <w:rsid w:val="004A7E5B"/>
    <w:rsid w:val="004B071E"/>
    <w:rsid w:val="004B0A0B"/>
    <w:rsid w:val="004B1A94"/>
    <w:rsid w:val="004B1BD4"/>
    <w:rsid w:val="004B2D89"/>
    <w:rsid w:val="004B4BB7"/>
    <w:rsid w:val="004B506A"/>
    <w:rsid w:val="004B6314"/>
    <w:rsid w:val="004B6780"/>
    <w:rsid w:val="004B69EF"/>
    <w:rsid w:val="004B7108"/>
    <w:rsid w:val="004B7B1A"/>
    <w:rsid w:val="004C005F"/>
    <w:rsid w:val="004C02D3"/>
    <w:rsid w:val="004C065A"/>
    <w:rsid w:val="004C0BAD"/>
    <w:rsid w:val="004C0E74"/>
    <w:rsid w:val="004C0FBE"/>
    <w:rsid w:val="004C13AE"/>
    <w:rsid w:val="004C2082"/>
    <w:rsid w:val="004C5E9D"/>
    <w:rsid w:val="004C68A1"/>
    <w:rsid w:val="004C79E0"/>
    <w:rsid w:val="004D04B8"/>
    <w:rsid w:val="004D0AF0"/>
    <w:rsid w:val="004D3496"/>
    <w:rsid w:val="004D34EE"/>
    <w:rsid w:val="004D3770"/>
    <w:rsid w:val="004D39EF"/>
    <w:rsid w:val="004D52DD"/>
    <w:rsid w:val="004D617E"/>
    <w:rsid w:val="004D692A"/>
    <w:rsid w:val="004D7993"/>
    <w:rsid w:val="004E03B7"/>
    <w:rsid w:val="004E2867"/>
    <w:rsid w:val="004E419B"/>
    <w:rsid w:val="004E4662"/>
    <w:rsid w:val="004E4B36"/>
    <w:rsid w:val="004E51E6"/>
    <w:rsid w:val="004E6C0A"/>
    <w:rsid w:val="004E6C14"/>
    <w:rsid w:val="004E704F"/>
    <w:rsid w:val="004E7072"/>
    <w:rsid w:val="004F0639"/>
    <w:rsid w:val="004F09A1"/>
    <w:rsid w:val="004F1763"/>
    <w:rsid w:val="004F1C7D"/>
    <w:rsid w:val="004F2A63"/>
    <w:rsid w:val="004F36EB"/>
    <w:rsid w:val="004F3E56"/>
    <w:rsid w:val="004F4DA7"/>
    <w:rsid w:val="004F54C0"/>
    <w:rsid w:val="004F56EE"/>
    <w:rsid w:val="004F570E"/>
    <w:rsid w:val="004F5ABF"/>
    <w:rsid w:val="004F6469"/>
    <w:rsid w:val="004F67C4"/>
    <w:rsid w:val="004F74C1"/>
    <w:rsid w:val="0050119E"/>
    <w:rsid w:val="005036C9"/>
    <w:rsid w:val="00503D1E"/>
    <w:rsid w:val="00503DD2"/>
    <w:rsid w:val="00505A2A"/>
    <w:rsid w:val="00506226"/>
    <w:rsid w:val="005100F9"/>
    <w:rsid w:val="00510B55"/>
    <w:rsid w:val="00512195"/>
    <w:rsid w:val="0051224E"/>
    <w:rsid w:val="005155B4"/>
    <w:rsid w:val="00515C94"/>
    <w:rsid w:val="00515F79"/>
    <w:rsid w:val="00516F3F"/>
    <w:rsid w:val="00520600"/>
    <w:rsid w:val="00520B31"/>
    <w:rsid w:val="00520DF7"/>
    <w:rsid w:val="00521B78"/>
    <w:rsid w:val="00521E08"/>
    <w:rsid w:val="0052496F"/>
    <w:rsid w:val="005256DF"/>
    <w:rsid w:val="00525DB4"/>
    <w:rsid w:val="00526F55"/>
    <w:rsid w:val="005271BE"/>
    <w:rsid w:val="0053033D"/>
    <w:rsid w:val="005304C6"/>
    <w:rsid w:val="00530B59"/>
    <w:rsid w:val="005317E9"/>
    <w:rsid w:val="0053267D"/>
    <w:rsid w:val="0053388F"/>
    <w:rsid w:val="00534F79"/>
    <w:rsid w:val="00535202"/>
    <w:rsid w:val="00535516"/>
    <w:rsid w:val="005372B6"/>
    <w:rsid w:val="00537D18"/>
    <w:rsid w:val="00540040"/>
    <w:rsid w:val="00541F72"/>
    <w:rsid w:val="005423F7"/>
    <w:rsid w:val="00544892"/>
    <w:rsid w:val="00545116"/>
    <w:rsid w:val="00545172"/>
    <w:rsid w:val="00545429"/>
    <w:rsid w:val="005454AE"/>
    <w:rsid w:val="00545785"/>
    <w:rsid w:val="005458AA"/>
    <w:rsid w:val="00546368"/>
    <w:rsid w:val="005463D5"/>
    <w:rsid w:val="00551171"/>
    <w:rsid w:val="00551564"/>
    <w:rsid w:val="00551581"/>
    <w:rsid w:val="005525F7"/>
    <w:rsid w:val="005526C6"/>
    <w:rsid w:val="00553487"/>
    <w:rsid w:val="00556377"/>
    <w:rsid w:val="00556708"/>
    <w:rsid w:val="005571A7"/>
    <w:rsid w:val="005604D5"/>
    <w:rsid w:val="005609C8"/>
    <w:rsid w:val="00563911"/>
    <w:rsid w:val="00563ED7"/>
    <w:rsid w:val="00565D29"/>
    <w:rsid w:val="00565EFA"/>
    <w:rsid w:val="0057085B"/>
    <w:rsid w:val="00570B00"/>
    <w:rsid w:val="00571C18"/>
    <w:rsid w:val="00572EA6"/>
    <w:rsid w:val="00575CF5"/>
    <w:rsid w:val="00576EB9"/>
    <w:rsid w:val="00580ED4"/>
    <w:rsid w:val="00581651"/>
    <w:rsid w:val="00581B05"/>
    <w:rsid w:val="00581B22"/>
    <w:rsid w:val="005825AF"/>
    <w:rsid w:val="005826D8"/>
    <w:rsid w:val="00582881"/>
    <w:rsid w:val="0058319E"/>
    <w:rsid w:val="00583601"/>
    <w:rsid w:val="00583BE8"/>
    <w:rsid w:val="005861E9"/>
    <w:rsid w:val="005863B7"/>
    <w:rsid w:val="00586892"/>
    <w:rsid w:val="00590B09"/>
    <w:rsid w:val="00591298"/>
    <w:rsid w:val="00591518"/>
    <w:rsid w:val="005946FA"/>
    <w:rsid w:val="00596650"/>
    <w:rsid w:val="00597B48"/>
    <w:rsid w:val="00597B90"/>
    <w:rsid w:val="005A01B6"/>
    <w:rsid w:val="005A0907"/>
    <w:rsid w:val="005A0EAD"/>
    <w:rsid w:val="005A165B"/>
    <w:rsid w:val="005A19E7"/>
    <w:rsid w:val="005A23BB"/>
    <w:rsid w:val="005A2712"/>
    <w:rsid w:val="005A317E"/>
    <w:rsid w:val="005A3921"/>
    <w:rsid w:val="005A7CAD"/>
    <w:rsid w:val="005B092C"/>
    <w:rsid w:val="005B2569"/>
    <w:rsid w:val="005B2C9F"/>
    <w:rsid w:val="005B2EE1"/>
    <w:rsid w:val="005B38E1"/>
    <w:rsid w:val="005B4116"/>
    <w:rsid w:val="005B55FD"/>
    <w:rsid w:val="005B5946"/>
    <w:rsid w:val="005B60A3"/>
    <w:rsid w:val="005B6F73"/>
    <w:rsid w:val="005B6FB7"/>
    <w:rsid w:val="005C0695"/>
    <w:rsid w:val="005C1372"/>
    <w:rsid w:val="005C410F"/>
    <w:rsid w:val="005C4D53"/>
    <w:rsid w:val="005C5EEA"/>
    <w:rsid w:val="005C7185"/>
    <w:rsid w:val="005C79A2"/>
    <w:rsid w:val="005D0344"/>
    <w:rsid w:val="005D1B79"/>
    <w:rsid w:val="005D243E"/>
    <w:rsid w:val="005D2CD9"/>
    <w:rsid w:val="005D3D0E"/>
    <w:rsid w:val="005D50AF"/>
    <w:rsid w:val="005D6F7A"/>
    <w:rsid w:val="005E055C"/>
    <w:rsid w:val="005E0910"/>
    <w:rsid w:val="005E1269"/>
    <w:rsid w:val="005E174A"/>
    <w:rsid w:val="005E1B91"/>
    <w:rsid w:val="005E2203"/>
    <w:rsid w:val="005E2640"/>
    <w:rsid w:val="005E3AF8"/>
    <w:rsid w:val="005E46CB"/>
    <w:rsid w:val="005E609D"/>
    <w:rsid w:val="005E66A1"/>
    <w:rsid w:val="005E6EA2"/>
    <w:rsid w:val="005E79F0"/>
    <w:rsid w:val="005F19BD"/>
    <w:rsid w:val="005F1F6F"/>
    <w:rsid w:val="005F29A6"/>
    <w:rsid w:val="005F3030"/>
    <w:rsid w:val="005F434A"/>
    <w:rsid w:val="005F4491"/>
    <w:rsid w:val="005F484C"/>
    <w:rsid w:val="005F61B8"/>
    <w:rsid w:val="005F6215"/>
    <w:rsid w:val="005F714E"/>
    <w:rsid w:val="005F71D7"/>
    <w:rsid w:val="00600B73"/>
    <w:rsid w:val="006034A8"/>
    <w:rsid w:val="00603DB0"/>
    <w:rsid w:val="00604191"/>
    <w:rsid w:val="006052BF"/>
    <w:rsid w:val="0060551B"/>
    <w:rsid w:val="00605704"/>
    <w:rsid w:val="00605B8F"/>
    <w:rsid w:val="00605DAE"/>
    <w:rsid w:val="00606906"/>
    <w:rsid w:val="00607827"/>
    <w:rsid w:val="00610AC4"/>
    <w:rsid w:val="00610C5A"/>
    <w:rsid w:val="0061162A"/>
    <w:rsid w:val="00611CF4"/>
    <w:rsid w:val="00611F09"/>
    <w:rsid w:val="00616CAF"/>
    <w:rsid w:val="00620E39"/>
    <w:rsid w:val="00621C98"/>
    <w:rsid w:val="006231F6"/>
    <w:rsid w:val="006232E5"/>
    <w:rsid w:val="006235EE"/>
    <w:rsid w:val="00623F52"/>
    <w:rsid w:val="0062533B"/>
    <w:rsid w:val="006257E2"/>
    <w:rsid w:val="00625B72"/>
    <w:rsid w:val="0063015D"/>
    <w:rsid w:val="00630529"/>
    <w:rsid w:val="006328C5"/>
    <w:rsid w:val="0063314A"/>
    <w:rsid w:val="006353E5"/>
    <w:rsid w:val="00636873"/>
    <w:rsid w:val="006372C1"/>
    <w:rsid w:val="00637657"/>
    <w:rsid w:val="00640440"/>
    <w:rsid w:val="00641016"/>
    <w:rsid w:val="0064146C"/>
    <w:rsid w:val="00641BA1"/>
    <w:rsid w:val="00642090"/>
    <w:rsid w:val="00643EB5"/>
    <w:rsid w:val="0064539B"/>
    <w:rsid w:val="006513F4"/>
    <w:rsid w:val="00651F8C"/>
    <w:rsid w:val="0065337A"/>
    <w:rsid w:val="006538A4"/>
    <w:rsid w:val="00655B25"/>
    <w:rsid w:val="00657D99"/>
    <w:rsid w:val="00660063"/>
    <w:rsid w:val="00660C48"/>
    <w:rsid w:val="00661504"/>
    <w:rsid w:val="00661DF2"/>
    <w:rsid w:val="006635EA"/>
    <w:rsid w:val="00666F94"/>
    <w:rsid w:val="0067035D"/>
    <w:rsid w:val="00670698"/>
    <w:rsid w:val="006711B9"/>
    <w:rsid w:val="0067161D"/>
    <w:rsid w:val="00674092"/>
    <w:rsid w:val="006751DC"/>
    <w:rsid w:val="00675F99"/>
    <w:rsid w:val="00676AE1"/>
    <w:rsid w:val="00677E04"/>
    <w:rsid w:val="0068106D"/>
    <w:rsid w:val="00681F94"/>
    <w:rsid w:val="0068424F"/>
    <w:rsid w:val="006845BF"/>
    <w:rsid w:val="0068478C"/>
    <w:rsid w:val="00684F3B"/>
    <w:rsid w:val="00685579"/>
    <w:rsid w:val="00685B0D"/>
    <w:rsid w:val="00686019"/>
    <w:rsid w:val="00686F19"/>
    <w:rsid w:val="00687033"/>
    <w:rsid w:val="006876D6"/>
    <w:rsid w:val="0068776C"/>
    <w:rsid w:val="00690085"/>
    <w:rsid w:val="00691CB8"/>
    <w:rsid w:val="006925D0"/>
    <w:rsid w:val="00692959"/>
    <w:rsid w:val="0069406D"/>
    <w:rsid w:val="00694E24"/>
    <w:rsid w:val="006952C2"/>
    <w:rsid w:val="006954DB"/>
    <w:rsid w:val="0069626C"/>
    <w:rsid w:val="00696FBD"/>
    <w:rsid w:val="00697181"/>
    <w:rsid w:val="006975BB"/>
    <w:rsid w:val="0069791E"/>
    <w:rsid w:val="006A0BDB"/>
    <w:rsid w:val="006A111F"/>
    <w:rsid w:val="006A2579"/>
    <w:rsid w:val="006A30DA"/>
    <w:rsid w:val="006A3F5E"/>
    <w:rsid w:val="006A4500"/>
    <w:rsid w:val="006A5444"/>
    <w:rsid w:val="006A65CF"/>
    <w:rsid w:val="006B186E"/>
    <w:rsid w:val="006B1A46"/>
    <w:rsid w:val="006B1EB3"/>
    <w:rsid w:val="006B222A"/>
    <w:rsid w:val="006B3435"/>
    <w:rsid w:val="006B367F"/>
    <w:rsid w:val="006B4E91"/>
    <w:rsid w:val="006B5E66"/>
    <w:rsid w:val="006B7742"/>
    <w:rsid w:val="006C1B3C"/>
    <w:rsid w:val="006C234F"/>
    <w:rsid w:val="006C4073"/>
    <w:rsid w:val="006C5ED1"/>
    <w:rsid w:val="006C6DF6"/>
    <w:rsid w:val="006C7DEF"/>
    <w:rsid w:val="006D2AF3"/>
    <w:rsid w:val="006D32D6"/>
    <w:rsid w:val="006D3B00"/>
    <w:rsid w:val="006D4C89"/>
    <w:rsid w:val="006D5C0E"/>
    <w:rsid w:val="006D5D91"/>
    <w:rsid w:val="006D5DF7"/>
    <w:rsid w:val="006D6CD2"/>
    <w:rsid w:val="006D6E8A"/>
    <w:rsid w:val="006D7220"/>
    <w:rsid w:val="006E05B2"/>
    <w:rsid w:val="006E084B"/>
    <w:rsid w:val="006E1D2B"/>
    <w:rsid w:val="006E3692"/>
    <w:rsid w:val="006E4E04"/>
    <w:rsid w:val="006E616A"/>
    <w:rsid w:val="006E673D"/>
    <w:rsid w:val="006E776F"/>
    <w:rsid w:val="006E7C9E"/>
    <w:rsid w:val="006E7F86"/>
    <w:rsid w:val="006F2287"/>
    <w:rsid w:val="006F31DF"/>
    <w:rsid w:val="006F3B9B"/>
    <w:rsid w:val="006F540F"/>
    <w:rsid w:val="006F756D"/>
    <w:rsid w:val="00701119"/>
    <w:rsid w:val="0070118C"/>
    <w:rsid w:val="0070302A"/>
    <w:rsid w:val="00703D87"/>
    <w:rsid w:val="00704C1E"/>
    <w:rsid w:val="00706996"/>
    <w:rsid w:val="007069ED"/>
    <w:rsid w:val="00706F29"/>
    <w:rsid w:val="00707FDF"/>
    <w:rsid w:val="00711048"/>
    <w:rsid w:val="007114BA"/>
    <w:rsid w:val="00712EC6"/>
    <w:rsid w:val="0071304F"/>
    <w:rsid w:val="00713114"/>
    <w:rsid w:val="007131DF"/>
    <w:rsid w:val="00714C12"/>
    <w:rsid w:val="00715A5A"/>
    <w:rsid w:val="00716BB2"/>
    <w:rsid w:val="00720237"/>
    <w:rsid w:val="00720CE4"/>
    <w:rsid w:val="00721838"/>
    <w:rsid w:val="00722511"/>
    <w:rsid w:val="00722D33"/>
    <w:rsid w:val="00722EC1"/>
    <w:rsid w:val="00723D90"/>
    <w:rsid w:val="0072405C"/>
    <w:rsid w:val="00724279"/>
    <w:rsid w:val="00724452"/>
    <w:rsid w:val="0072464E"/>
    <w:rsid w:val="007249E6"/>
    <w:rsid w:val="00726ED2"/>
    <w:rsid w:val="007277C5"/>
    <w:rsid w:val="00730AE6"/>
    <w:rsid w:val="007330A3"/>
    <w:rsid w:val="00734026"/>
    <w:rsid w:val="00734808"/>
    <w:rsid w:val="00735D27"/>
    <w:rsid w:val="00737231"/>
    <w:rsid w:val="007373D5"/>
    <w:rsid w:val="007416C6"/>
    <w:rsid w:val="007428BE"/>
    <w:rsid w:val="00742BEC"/>
    <w:rsid w:val="00744F98"/>
    <w:rsid w:val="007462E3"/>
    <w:rsid w:val="00751BF8"/>
    <w:rsid w:val="00752207"/>
    <w:rsid w:val="007526CC"/>
    <w:rsid w:val="00753664"/>
    <w:rsid w:val="00753A1B"/>
    <w:rsid w:val="007547FC"/>
    <w:rsid w:val="00755F20"/>
    <w:rsid w:val="00756EC6"/>
    <w:rsid w:val="00760A79"/>
    <w:rsid w:val="007623C2"/>
    <w:rsid w:val="007629A8"/>
    <w:rsid w:val="00763CD6"/>
    <w:rsid w:val="0076552C"/>
    <w:rsid w:val="00765696"/>
    <w:rsid w:val="00766119"/>
    <w:rsid w:val="007674CF"/>
    <w:rsid w:val="0077163B"/>
    <w:rsid w:val="00771701"/>
    <w:rsid w:val="00773BCC"/>
    <w:rsid w:val="00776E94"/>
    <w:rsid w:val="007778DE"/>
    <w:rsid w:val="00777948"/>
    <w:rsid w:val="00777B88"/>
    <w:rsid w:val="00782C54"/>
    <w:rsid w:val="00782CE6"/>
    <w:rsid w:val="00783F36"/>
    <w:rsid w:val="00786BAD"/>
    <w:rsid w:val="00787B45"/>
    <w:rsid w:val="007905BF"/>
    <w:rsid w:val="00791231"/>
    <w:rsid w:val="00794F60"/>
    <w:rsid w:val="00796340"/>
    <w:rsid w:val="007976BA"/>
    <w:rsid w:val="007978C4"/>
    <w:rsid w:val="007A0817"/>
    <w:rsid w:val="007A0F83"/>
    <w:rsid w:val="007A21C1"/>
    <w:rsid w:val="007A21F5"/>
    <w:rsid w:val="007A31A8"/>
    <w:rsid w:val="007A3DEA"/>
    <w:rsid w:val="007A5D53"/>
    <w:rsid w:val="007A78D4"/>
    <w:rsid w:val="007B2BC1"/>
    <w:rsid w:val="007B38A3"/>
    <w:rsid w:val="007B3AC2"/>
    <w:rsid w:val="007B5F51"/>
    <w:rsid w:val="007B7431"/>
    <w:rsid w:val="007B7AA9"/>
    <w:rsid w:val="007B7FB5"/>
    <w:rsid w:val="007C0135"/>
    <w:rsid w:val="007C202B"/>
    <w:rsid w:val="007C237E"/>
    <w:rsid w:val="007C3305"/>
    <w:rsid w:val="007C3580"/>
    <w:rsid w:val="007C3B02"/>
    <w:rsid w:val="007C41A4"/>
    <w:rsid w:val="007D070F"/>
    <w:rsid w:val="007D3E77"/>
    <w:rsid w:val="007D4A5B"/>
    <w:rsid w:val="007D55A8"/>
    <w:rsid w:val="007D595F"/>
    <w:rsid w:val="007D6406"/>
    <w:rsid w:val="007D6AC8"/>
    <w:rsid w:val="007D776B"/>
    <w:rsid w:val="007E13AC"/>
    <w:rsid w:val="007E1669"/>
    <w:rsid w:val="007E1D24"/>
    <w:rsid w:val="007E4436"/>
    <w:rsid w:val="007E4D20"/>
    <w:rsid w:val="007E4E81"/>
    <w:rsid w:val="007E795E"/>
    <w:rsid w:val="007E7C32"/>
    <w:rsid w:val="007F4104"/>
    <w:rsid w:val="007F4546"/>
    <w:rsid w:val="007F56B4"/>
    <w:rsid w:val="007F6B20"/>
    <w:rsid w:val="008002F7"/>
    <w:rsid w:val="00800C25"/>
    <w:rsid w:val="00801CCA"/>
    <w:rsid w:val="00802A75"/>
    <w:rsid w:val="008035BA"/>
    <w:rsid w:val="00803D5C"/>
    <w:rsid w:val="00804A5A"/>
    <w:rsid w:val="00805988"/>
    <w:rsid w:val="00806A98"/>
    <w:rsid w:val="0080784C"/>
    <w:rsid w:val="0081003F"/>
    <w:rsid w:val="0081024B"/>
    <w:rsid w:val="0081043F"/>
    <w:rsid w:val="00811E25"/>
    <w:rsid w:val="00814661"/>
    <w:rsid w:val="008153F4"/>
    <w:rsid w:val="00815E91"/>
    <w:rsid w:val="00816D28"/>
    <w:rsid w:val="00816DC3"/>
    <w:rsid w:val="008203EF"/>
    <w:rsid w:val="008205BD"/>
    <w:rsid w:val="00820BE9"/>
    <w:rsid w:val="008230FD"/>
    <w:rsid w:val="00823AE0"/>
    <w:rsid w:val="00823E1A"/>
    <w:rsid w:val="008241A2"/>
    <w:rsid w:val="00825952"/>
    <w:rsid w:val="0082716C"/>
    <w:rsid w:val="00827C94"/>
    <w:rsid w:val="0083108B"/>
    <w:rsid w:val="00831BAD"/>
    <w:rsid w:val="00832E24"/>
    <w:rsid w:val="008342E5"/>
    <w:rsid w:val="00836C0D"/>
    <w:rsid w:val="008419F7"/>
    <w:rsid w:val="00844A37"/>
    <w:rsid w:val="00845B4B"/>
    <w:rsid w:val="00851BEE"/>
    <w:rsid w:val="00851EA4"/>
    <w:rsid w:val="00852A0D"/>
    <w:rsid w:val="00852F72"/>
    <w:rsid w:val="00853343"/>
    <w:rsid w:val="00853751"/>
    <w:rsid w:val="00854E70"/>
    <w:rsid w:val="00857756"/>
    <w:rsid w:val="00861391"/>
    <w:rsid w:val="00861B55"/>
    <w:rsid w:val="00862DF2"/>
    <w:rsid w:val="00863FAB"/>
    <w:rsid w:val="00864F95"/>
    <w:rsid w:val="00865A65"/>
    <w:rsid w:val="00866C05"/>
    <w:rsid w:val="00866FB3"/>
    <w:rsid w:val="0086733A"/>
    <w:rsid w:val="0086757A"/>
    <w:rsid w:val="00867752"/>
    <w:rsid w:val="008705C5"/>
    <w:rsid w:val="008711CC"/>
    <w:rsid w:val="00871C3B"/>
    <w:rsid w:val="00872932"/>
    <w:rsid w:val="00874AF2"/>
    <w:rsid w:val="00874D7F"/>
    <w:rsid w:val="00874F60"/>
    <w:rsid w:val="00876F4C"/>
    <w:rsid w:val="0087704E"/>
    <w:rsid w:val="00877093"/>
    <w:rsid w:val="008770C8"/>
    <w:rsid w:val="00877209"/>
    <w:rsid w:val="0087726B"/>
    <w:rsid w:val="008777FE"/>
    <w:rsid w:val="00877D66"/>
    <w:rsid w:val="00877F84"/>
    <w:rsid w:val="00880BFF"/>
    <w:rsid w:val="00880EB5"/>
    <w:rsid w:val="00883408"/>
    <w:rsid w:val="00884F78"/>
    <w:rsid w:val="0089037A"/>
    <w:rsid w:val="008906DC"/>
    <w:rsid w:val="00891424"/>
    <w:rsid w:val="008920C9"/>
    <w:rsid w:val="00893786"/>
    <w:rsid w:val="00893DF2"/>
    <w:rsid w:val="00894B66"/>
    <w:rsid w:val="00895C3F"/>
    <w:rsid w:val="008968A8"/>
    <w:rsid w:val="00896E62"/>
    <w:rsid w:val="008972B2"/>
    <w:rsid w:val="00897363"/>
    <w:rsid w:val="0089783A"/>
    <w:rsid w:val="008A103D"/>
    <w:rsid w:val="008A1730"/>
    <w:rsid w:val="008A2356"/>
    <w:rsid w:val="008A3025"/>
    <w:rsid w:val="008A3B27"/>
    <w:rsid w:val="008A495F"/>
    <w:rsid w:val="008A513E"/>
    <w:rsid w:val="008A55CB"/>
    <w:rsid w:val="008A7E8F"/>
    <w:rsid w:val="008B0A60"/>
    <w:rsid w:val="008B12DE"/>
    <w:rsid w:val="008B2BD9"/>
    <w:rsid w:val="008B33B2"/>
    <w:rsid w:val="008B3C82"/>
    <w:rsid w:val="008B3DDF"/>
    <w:rsid w:val="008B444B"/>
    <w:rsid w:val="008B576B"/>
    <w:rsid w:val="008B7332"/>
    <w:rsid w:val="008B7A0F"/>
    <w:rsid w:val="008B7D8C"/>
    <w:rsid w:val="008C0EE2"/>
    <w:rsid w:val="008C1377"/>
    <w:rsid w:val="008C308B"/>
    <w:rsid w:val="008C36D2"/>
    <w:rsid w:val="008C39DB"/>
    <w:rsid w:val="008C4506"/>
    <w:rsid w:val="008C4DBE"/>
    <w:rsid w:val="008C5374"/>
    <w:rsid w:val="008C6357"/>
    <w:rsid w:val="008C7ABA"/>
    <w:rsid w:val="008D0A3B"/>
    <w:rsid w:val="008D0D13"/>
    <w:rsid w:val="008D20E4"/>
    <w:rsid w:val="008D2E18"/>
    <w:rsid w:val="008D3B86"/>
    <w:rsid w:val="008D4367"/>
    <w:rsid w:val="008D5027"/>
    <w:rsid w:val="008D596E"/>
    <w:rsid w:val="008D59AA"/>
    <w:rsid w:val="008D5C40"/>
    <w:rsid w:val="008E0463"/>
    <w:rsid w:val="008E0C84"/>
    <w:rsid w:val="008E132C"/>
    <w:rsid w:val="008E1473"/>
    <w:rsid w:val="008E32B6"/>
    <w:rsid w:val="008E3C07"/>
    <w:rsid w:val="008E3CFD"/>
    <w:rsid w:val="008E7056"/>
    <w:rsid w:val="008F1BE2"/>
    <w:rsid w:val="008F2EB7"/>
    <w:rsid w:val="008F40CA"/>
    <w:rsid w:val="008F5E51"/>
    <w:rsid w:val="008F6023"/>
    <w:rsid w:val="008F6CD3"/>
    <w:rsid w:val="008F708C"/>
    <w:rsid w:val="00901495"/>
    <w:rsid w:val="00901A16"/>
    <w:rsid w:val="00902608"/>
    <w:rsid w:val="00903DB8"/>
    <w:rsid w:val="00904F5E"/>
    <w:rsid w:val="0090582A"/>
    <w:rsid w:val="00906ACF"/>
    <w:rsid w:val="00907E5B"/>
    <w:rsid w:val="00910E95"/>
    <w:rsid w:val="00911DB6"/>
    <w:rsid w:val="00912095"/>
    <w:rsid w:val="009137DF"/>
    <w:rsid w:val="00914300"/>
    <w:rsid w:val="009148B9"/>
    <w:rsid w:val="0091490D"/>
    <w:rsid w:val="00917723"/>
    <w:rsid w:val="00920E2B"/>
    <w:rsid w:val="00921279"/>
    <w:rsid w:val="009245A2"/>
    <w:rsid w:val="0092547E"/>
    <w:rsid w:val="00925C79"/>
    <w:rsid w:val="00926D5E"/>
    <w:rsid w:val="00927A52"/>
    <w:rsid w:val="009311A6"/>
    <w:rsid w:val="00933F4C"/>
    <w:rsid w:val="009342D9"/>
    <w:rsid w:val="00934F6D"/>
    <w:rsid w:val="00935DCC"/>
    <w:rsid w:val="00936088"/>
    <w:rsid w:val="009361CF"/>
    <w:rsid w:val="00936601"/>
    <w:rsid w:val="00936B00"/>
    <w:rsid w:val="00936F5F"/>
    <w:rsid w:val="009403D0"/>
    <w:rsid w:val="00940599"/>
    <w:rsid w:val="00940CC0"/>
    <w:rsid w:val="00941352"/>
    <w:rsid w:val="009426C7"/>
    <w:rsid w:val="00944530"/>
    <w:rsid w:val="009448BE"/>
    <w:rsid w:val="00944F2C"/>
    <w:rsid w:val="00944F88"/>
    <w:rsid w:val="0094513A"/>
    <w:rsid w:val="009452A4"/>
    <w:rsid w:val="009463A1"/>
    <w:rsid w:val="009474D5"/>
    <w:rsid w:val="00952496"/>
    <w:rsid w:val="0095258C"/>
    <w:rsid w:val="0095267E"/>
    <w:rsid w:val="00952C21"/>
    <w:rsid w:val="0095362A"/>
    <w:rsid w:val="009540B3"/>
    <w:rsid w:val="00954F72"/>
    <w:rsid w:val="0095547C"/>
    <w:rsid w:val="0095595D"/>
    <w:rsid w:val="0095624B"/>
    <w:rsid w:val="00956736"/>
    <w:rsid w:val="00956E35"/>
    <w:rsid w:val="00957394"/>
    <w:rsid w:val="00957BC0"/>
    <w:rsid w:val="00960566"/>
    <w:rsid w:val="00960EA5"/>
    <w:rsid w:val="00962368"/>
    <w:rsid w:val="0096266C"/>
    <w:rsid w:val="0096292F"/>
    <w:rsid w:val="0096310B"/>
    <w:rsid w:val="00963C5C"/>
    <w:rsid w:val="00963E7E"/>
    <w:rsid w:val="009641A1"/>
    <w:rsid w:val="009657EE"/>
    <w:rsid w:val="00965FDB"/>
    <w:rsid w:val="00966288"/>
    <w:rsid w:val="00971880"/>
    <w:rsid w:val="0097261C"/>
    <w:rsid w:val="009744D6"/>
    <w:rsid w:val="00975DF2"/>
    <w:rsid w:val="00975DF9"/>
    <w:rsid w:val="00980502"/>
    <w:rsid w:val="00981CB9"/>
    <w:rsid w:val="00982E84"/>
    <w:rsid w:val="00984650"/>
    <w:rsid w:val="00984CC1"/>
    <w:rsid w:val="00990165"/>
    <w:rsid w:val="0099112D"/>
    <w:rsid w:val="009941D4"/>
    <w:rsid w:val="00994CA1"/>
    <w:rsid w:val="00994D91"/>
    <w:rsid w:val="00994DF1"/>
    <w:rsid w:val="009A0E01"/>
    <w:rsid w:val="009A5299"/>
    <w:rsid w:val="009A53EB"/>
    <w:rsid w:val="009A6A0C"/>
    <w:rsid w:val="009A6EBB"/>
    <w:rsid w:val="009A7790"/>
    <w:rsid w:val="009B0477"/>
    <w:rsid w:val="009B14C8"/>
    <w:rsid w:val="009B32C5"/>
    <w:rsid w:val="009C15E9"/>
    <w:rsid w:val="009C21A0"/>
    <w:rsid w:val="009C2284"/>
    <w:rsid w:val="009C3777"/>
    <w:rsid w:val="009C37F8"/>
    <w:rsid w:val="009C44B5"/>
    <w:rsid w:val="009C56AE"/>
    <w:rsid w:val="009C595F"/>
    <w:rsid w:val="009C6B71"/>
    <w:rsid w:val="009C7EF4"/>
    <w:rsid w:val="009D1BF8"/>
    <w:rsid w:val="009D310E"/>
    <w:rsid w:val="009D5E75"/>
    <w:rsid w:val="009D6F4B"/>
    <w:rsid w:val="009D77A8"/>
    <w:rsid w:val="009E01A7"/>
    <w:rsid w:val="009E1E65"/>
    <w:rsid w:val="009E26D9"/>
    <w:rsid w:val="009E2B62"/>
    <w:rsid w:val="009E3475"/>
    <w:rsid w:val="009E4407"/>
    <w:rsid w:val="009E4480"/>
    <w:rsid w:val="009E676B"/>
    <w:rsid w:val="009E6791"/>
    <w:rsid w:val="009E6A5E"/>
    <w:rsid w:val="009E6D5C"/>
    <w:rsid w:val="009E73F3"/>
    <w:rsid w:val="009F0C78"/>
    <w:rsid w:val="009F4D5F"/>
    <w:rsid w:val="009F52BC"/>
    <w:rsid w:val="009F5A19"/>
    <w:rsid w:val="009F6331"/>
    <w:rsid w:val="009F6A8E"/>
    <w:rsid w:val="00A000A1"/>
    <w:rsid w:val="00A00381"/>
    <w:rsid w:val="00A01B22"/>
    <w:rsid w:val="00A02822"/>
    <w:rsid w:val="00A03DC0"/>
    <w:rsid w:val="00A04C47"/>
    <w:rsid w:val="00A05748"/>
    <w:rsid w:val="00A0607F"/>
    <w:rsid w:val="00A10C90"/>
    <w:rsid w:val="00A112D3"/>
    <w:rsid w:val="00A1145F"/>
    <w:rsid w:val="00A11972"/>
    <w:rsid w:val="00A1234A"/>
    <w:rsid w:val="00A127B4"/>
    <w:rsid w:val="00A1292B"/>
    <w:rsid w:val="00A14E2A"/>
    <w:rsid w:val="00A15A61"/>
    <w:rsid w:val="00A15AB0"/>
    <w:rsid w:val="00A16E60"/>
    <w:rsid w:val="00A174DB"/>
    <w:rsid w:val="00A1781C"/>
    <w:rsid w:val="00A17C2E"/>
    <w:rsid w:val="00A17C47"/>
    <w:rsid w:val="00A21063"/>
    <w:rsid w:val="00A22008"/>
    <w:rsid w:val="00A238C8"/>
    <w:rsid w:val="00A23C2A"/>
    <w:rsid w:val="00A24193"/>
    <w:rsid w:val="00A307EB"/>
    <w:rsid w:val="00A310C6"/>
    <w:rsid w:val="00A31DAD"/>
    <w:rsid w:val="00A328FC"/>
    <w:rsid w:val="00A3293B"/>
    <w:rsid w:val="00A33899"/>
    <w:rsid w:val="00A34601"/>
    <w:rsid w:val="00A34C44"/>
    <w:rsid w:val="00A365DC"/>
    <w:rsid w:val="00A368E6"/>
    <w:rsid w:val="00A37601"/>
    <w:rsid w:val="00A40AFC"/>
    <w:rsid w:val="00A432FA"/>
    <w:rsid w:val="00A46212"/>
    <w:rsid w:val="00A467F0"/>
    <w:rsid w:val="00A47137"/>
    <w:rsid w:val="00A51F8B"/>
    <w:rsid w:val="00A5203B"/>
    <w:rsid w:val="00A54251"/>
    <w:rsid w:val="00A54D0D"/>
    <w:rsid w:val="00A56001"/>
    <w:rsid w:val="00A57811"/>
    <w:rsid w:val="00A57AA1"/>
    <w:rsid w:val="00A628C1"/>
    <w:rsid w:val="00A63589"/>
    <w:rsid w:val="00A64806"/>
    <w:rsid w:val="00A64C74"/>
    <w:rsid w:val="00A651C3"/>
    <w:rsid w:val="00A65550"/>
    <w:rsid w:val="00A67DE7"/>
    <w:rsid w:val="00A67E49"/>
    <w:rsid w:val="00A709D2"/>
    <w:rsid w:val="00A70B00"/>
    <w:rsid w:val="00A71744"/>
    <w:rsid w:val="00A71C7D"/>
    <w:rsid w:val="00A71E96"/>
    <w:rsid w:val="00A72D77"/>
    <w:rsid w:val="00A73941"/>
    <w:rsid w:val="00A73D0F"/>
    <w:rsid w:val="00A740F0"/>
    <w:rsid w:val="00A746CC"/>
    <w:rsid w:val="00A74D7D"/>
    <w:rsid w:val="00A750D7"/>
    <w:rsid w:val="00A75161"/>
    <w:rsid w:val="00A806A9"/>
    <w:rsid w:val="00A8357C"/>
    <w:rsid w:val="00A840E4"/>
    <w:rsid w:val="00A84133"/>
    <w:rsid w:val="00A86AA2"/>
    <w:rsid w:val="00A873E2"/>
    <w:rsid w:val="00A90BC3"/>
    <w:rsid w:val="00A91AD8"/>
    <w:rsid w:val="00A9221F"/>
    <w:rsid w:val="00A93EDD"/>
    <w:rsid w:val="00A94FB6"/>
    <w:rsid w:val="00A9645F"/>
    <w:rsid w:val="00A96C1D"/>
    <w:rsid w:val="00A9737B"/>
    <w:rsid w:val="00AA03E8"/>
    <w:rsid w:val="00AA0973"/>
    <w:rsid w:val="00AA1DCC"/>
    <w:rsid w:val="00AA2355"/>
    <w:rsid w:val="00AA4D9A"/>
    <w:rsid w:val="00AA5220"/>
    <w:rsid w:val="00AA5374"/>
    <w:rsid w:val="00AA62AB"/>
    <w:rsid w:val="00AA68DD"/>
    <w:rsid w:val="00AA7173"/>
    <w:rsid w:val="00AA775D"/>
    <w:rsid w:val="00AB2051"/>
    <w:rsid w:val="00AB2358"/>
    <w:rsid w:val="00AB2EC0"/>
    <w:rsid w:val="00AB32B0"/>
    <w:rsid w:val="00AB36B1"/>
    <w:rsid w:val="00AB3EB1"/>
    <w:rsid w:val="00AB5162"/>
    <w:rsid w:val="00AB685E"/>
    <w:rsid w:val="00AB7391"/>
    <w:rsid w:val="00AC0B4F"/>
    <w:rsid w:val="00AC1273"/>
    <w:rsid w:val="00AC12B6"/>
    <w:rsid w:val="00AC1A15"/>
    <w:rsid w:val="00AC3382"/>
    <w:rsid w:val="00AC36DF"/>
    <w:rsid w:val="00AC37F7"/>
    <w:rsid w:val="00AC4440"/>
    <w:rsid w:val="00AC4598"/>
    <w:rsid w:val="00AC45D5"/>
    <w:rsid w:val="00AC5A67"/>
    <w:rsid w:val="00AC5E5A"/>
    <w:rsid w:val="00AC67C0"/>
    <w:rsid w:val="00AC7A36"/>
    <w:rsid w:val="00AC7B9A"/>
    <w:rsid w:val="00AD0EB5"/>
    <w:rsid w:val="00AD11D8"/>
    <w:rsid w:val="00AD1C60"/>
    <w:rsid w:val="00AD1F29"/>
    <w:rsid w:val="00AD2311"/>
    <w:rsid w:val="00AD2AD7"/>
    <w:rsid w:val="00AD3DBD"/>
    <w:rsid w:val="00AD41BC"/>
    <w:rsid w:val="00AD4ED9"/>
    <w:rsid w:val="00AD51C4"/>
    <w:rsid w:val="00AD5AD5"/>
    <w:rsid w:val="00AD6386"/>
    <w:rsid w:val="00AD6B4B"/>
    <w:rsid w:val="00AD7968"/>
    <w:rsid w:val="00AD79EB"/>
    <w:rsid w:val="00AE07B1"/>
    <w:rsid w:val="00AE0FBE"/>
    <w:rsid w:val="00AE246A"/>
    <w:rsid w:val="00AE2684"/>
    <w:rsid w:val="00AE2D27"/>
    <w:rsid w:val="00AE30E1"/>
    <w:rsid w:val="00AE34FB"/>
    <w:rsid w:val="00AE3BB2"/>
    <w:rsid w:val="00AE479F"/>
    <w:rsid w:val="00AE4B35"/>
    <w:rsid w:val="00AE5E75"/>
    <w:rsid w:val="00AE5F43"/>
    <w:rsid w:val="00AE6CA9"/>
    <w:rsid w:val="00AE6D76"/>
    <w:rsid w:val="00AE7E90"/>
    <w:rsid w:val="00AF106B"/>
    <w:rsid w:val="00AF1289"/>
    <w:rsid w:val="00AF17EE"/>
    <w:rsid w:val="00AF1D8D"/>
    <w:rsid w:val="00AF31D0"/>
    <w:rsid w:val="00AF37DB"/>
    <w:rsid w:val="00AF4B0A"/>
    <w:rsid w:val="00AF4C33"/>
    <w:rsid w:val="00AF4D1A"/>
    <w:rsid w:val="00AF527E"/>
    <w:rsid w:val="00AF5A82"/>
    <w:rsid w:val="00AF6510"/>
    <w:rsid w:val="00AF6FAD"/>
    <w:rsid w:val="00AF7CCC"/>
    <w:rsid w:val="00B00CDB"/>
    <w:rsid w:val="00B012DB"/>
    <w:rsid w:val="00B0181F"/>
    <w:rsid w:val="00B01A1F"/>
    <w:rsid w:val="00B02CC6"/>
    <w:rsid w:val="00B03091"/>
    <w:rsid w:val="00B0337D"/>
    <w:rsid w:val="00B03428"/>
    <w:rsid w:val="00B03686"/>
    <w:rsid w:val="00B03972"/>
    <w:rsid w:val="00B04244"/>
    <w:rsid w:val="00B05240"/>
    <w:rsid w:val="00B057CC"/>
    <w:rsid w:val="00B05907"/>
    <w:rsid w:val="00B06BB9"/>
    <w:rsid w:val="00B10310"/>
    <w:rsid w:val="00B1148C"/>
    <w:rsid w:val="00B11F73"/>
    <w:rsid w:val="00B12241"/>
    <w:rsid w:val="00B12384"/>
    <w:rsid w:val="00B12873"/>
    <w:rsid w:val="00B13741"/>
    <w:rsid w:val="00B13B6F"/>
    <w:rsid w:val="00B14F30"/>
    <w:rsid w:val="00B155C8"/>
    <w:rsid w:val="00B16B78"/>
    <w:rsid w:val="00B2043A"/>
    <w:rsid w:val="00B20CDA"/>
    <w:rsid w:val="00B21C33"/>
    <w:rsid w:val="00B220C0"/>
    <w:rsid w:val="00B234F0"/>
    <w:rsid w:val="00B23691"/>
    <w:rsid w:val="00B24A94"/>
    <w:rsid w:val="00B2688A"/>
    <w:rsid w:val="00B27361"/>
    <w:rsid w:val="00B27925"/>
    <w:rsid w:val="00B30192"/>
    <w:rsid w:val="00B30440"/>
    <w:rsid w:val="00B3305F"/>
    <w:rsid w:val="00B3328C"/>
    <w:rsid w:val="00B34978"/>
    <w:rsid w:val="00B41000"/>
    <w:rsid w:val="00B41332"/>
    <w:rsid w:val="00B4290D"/>
    <w:rsid w:val="00B44FDB"/>
    <w:rsid w:val="00B455D8"/>
    <w:rsid w:val="00B47303"/>
    <w:rsid w:val="00B50AE7"/>
    <w:rsid w:val="00B50E88"/>
    <w:rsid w:val="00B51C08"/>
    <w:rsid w:val="00B52145"/>
    <w:rsid w:val="00B5232E"/>
    <w:rsid w:val="00B5243A"/>
    <w:rsid w:val="00B53795"/>
    <w:rsid w:val="00B54EA1"/>
    <w:rsid w:val="00B554EA"/>
    <w:rsid w:val="00B55671"/>
    <w:rsid w:val="00B55BEF"/>
    <w:rsid w:val="00B57060"/>
    <w:rsid w:val="00B57101"/>
    <w:rsid w:val="00B57782"/>
    <w:rsid w:val="00B5796C"/>
    <w:rsid w:val="00B61C11"/>
    <w:rsid w:val="00B61E1B"/>
    <w:rsid w:val="00B62BEC"/>
    <w:rsid w:val="00B6324B"/>
    <w:rsid w:val="00B634C7"/>
    <w:rsid w:val="00B65521"/>
    <w:rsid w:val="00B65D72"/>
    <w:rsid w:val="00B6618D"/>
    <w:rsid w:val="00B677F9"/>
    <w:rsid w:val="00B72772"/>
    <w:rsid w:val="00B72D35"/>
    <w:rsid w:val="00B7461B"/>
    <w:rsid w:val="00B74B7A"/>
    <w:rsid w:val="00B74CD3"/>
    <w:rsid w:val="00B75B01"/>
    <w:rsid w:val="00B76E97"/>
    <w:rsid w:val="00B77A4F"/>
    <w:rsid w:val="00B77D2D"/>
    <w:rsid w:val="00B8019E"/>
    <w:rsid w:val="00B807BF"/>
    <w:rsid w:val="00B8083B"/>
    <w:rsid w:val="00B821C0"/>
    <w:rsid w:val="00B82349"/>
    <w:rsid w:val="00B82A79"/>
    <w:rsid w:val="00B837E5"/>
    <w:rsid w:val="00B85356"/>
    <w:rsid w:val="00B86820"/>
    <w:rsid w:val="00B86A59"/>
    <w:rsid w:val="00B91AA9"/>
    <w:rsid w:val="00B91FD0"/>
    <w:rsid w:val="00B92466"/>
    <w:rsid w:val="00B941B1"/>
    <w:rsid w:val="00B9432C"/>
    <w:rsid w:val="00B95441"/>
    <w:rsid w:val="00B9587A"/>
    <w:rsid w:val="00B95CE1"/>
    <w:rsid w:val="00B9693A"/>
    <w:rsid w:val="00BA0020"/>
    <w:rsid w:val="00BA037F"/>
    <w:rsid w:val="00BA0C5B"/>
    <w:rsid w:val="00BA29ED"/>
    <w:rsid w:val="00BA37EF"/>
    <w:rsid w:val="00BA3C8B"/>
    <w:rsid w:val="00BA3F72"/>
    <w:rsid w:val="00BA55E7"/>
    <w:rsid w:val="00BA62A1"/>
    <w:rsid w:val="00BA6B52"/>
    <w:rsid w:val="00BB0A78"/>
    <w:rsid w:val="00BB1613"/>
    <w:rsid w:val="00BB20D7"/>
    <w:rsid w:val="00BB3405"/>
    <w:rsid w:val="00BB39EB"/>
    <w:rsid w:val="00BB65D5"/>
    <w:rsid w:val="00BB7D7C"/>
    <w:rsid w:val="00BC07E1"/>
    <w:rsid w:val="00BC0898"/>
    <w:rsid w:val="00BC0B9E"/>
    <w:rsid w:val="00BC20D7"/>
    <w:rsid w:val="00BC27CC"/>
    <w:rsid w:val="00BC38DD"/>
    <w:rsid w:val="00BC553D"/>
    <w:rsid w:val="00BC5A6A"/>
    <w:rsid w:val="00BC61ED"/>
    <w:rsid w:val="00BC64E1"/>
    <w:rsid w:val="00BC6A9E"/>
    <w:rsid w:val="00BD049C"/>
    <w:rsid w:val="00BD18EA"/>
    <w:rsid w:val="00BD29F1"/>
    <w:rsid w:val="00BD35D6"/>
    <w:rsid w:val="00BD40C0"/>
    <w:rsid w:val="00BD5F2D"/>
    <w:rsid w:val="00BD7E2A"/>
    <w:rsid w:val="00BE0FF2"/>
    <w:rsid w:val="00BE2067"/>
    <w:rsid w:val="00BE2A18"/>
    <w:rsid w:val="00BE36AB"/>
    <w:rsid w:val="00BE3F59"/>
    <w:rsid w:val="00BE424D"/>
    <w:rsid w:val="00BE4C47"/>
    <w:rsid w:val="00BE57C9"/>
    <w:rsid w:val="00BE5DDB"/>
    <w:rsid w:val="00BE61F7"/>
    <w:rsid w:val="00BE712F"/>
    <w:rsid w:val="00BE778E"/>
    <w:rsid w:val="00BE7D43"/>
    <w:rsid w:val="00BF40D3"/>
    <w:rsid w:val="00BF65A7"/>
    <w:rsid w:val="00BF669B"/>
    <w:rsid w:val="00BF7758"/>
    <w:rsid w:val="00BF77FC"/>
    <w:rsid w:val="00C00B39"/>
    <w:rsid w:val="00C02CC9"/>
    <w:rsid w:val="00C11844"/>
    <w:rsid w:val="00C14375"/>
    <w:rsid w:val="00C16616"/>
    <w:rsid w:val="00C1676A"/>
    <w:rsid w:val="00C17901"/>
    <w:rsid w:val="00C20F96"/>
    <w:rsid w:val="00C2131B"/>
    <w:rsid w:val="00C22210"/>
    <w:rsid w:val="00C22549"/>
    <w:rsid w:val="00C23458"/>
    <w:rsid w:val="00C23803"/>
    <w:rsid w:val="00C245A6"/>
    <w:rsid w:val="00C259DC"/>
    <w:rsid w:val="00C26624"/>
    <w:rsid w:val="00C300F5"/>
    <w:rsid w:val="00C302CB"/>
    <w:rsid w:val="00C3173D"/>
    <w:rsid w:val="00C317D8"/>
    <w:rsid w:val="00C31E2C"/>
    <w:rsid w:val="00C3266A"/>
    <w:rsid w:val="00C329E6"/>
    <w:rsid w:val="00C32C49"/>
    <w:rsid w:val="00C362B0"/>
    <w:rsid w:val="00C4325F"/>
    <w:rsid w:val="00C43B28"/>
    <w:rsid w:val="00C446C2"/>
    <w:rsid w:val="00C44F85"/>
    <w:rsid w:val="00C45061"/>
    <w:rsid w:val="00C45831"/>
    <w:rsid w:val="00C502D5"/>
    <w:rsid w:val="00C50BC3"/>
    <w:rsid w:val="00C50F01"/>
    <w:rsid w:val="00C510B8"/>
    <w:rsid w:val="00C520D8"/>
    <w:rsid w:val="00C52625"/>
    <w:rsid w:val="00C52FBA"/>
    <w:rsid w:val="00C5356E"/>
    <w:rsid w:val="00C53C64"/>
    <w:rsid w:val="00C540F5"/>
    <w:rsid w:val="00C544DC"/>
    <w:rsid w:val="00C55181"/>
    <w:rsid w:val="00C55895"/>
    <w:rsid w:val="00C55DFB"/>
    <w:rsid w:val="00C5790A"/>
    <w:rsid w:val="00C60A17"/>
    <w:rsid w:val="00C60D35"/>
    <w:rsid w:val="00C618FC"/>
    <w:rsid w:val="00C6322E"/>
    <w:rsid w:val="00C6367B"/>
    <w:rsid w:val="00C64E45"/>
    <w:rsid w:val="00C6531D"/>
    <w:rsid w:val="00C65ACC"/>
    <w:rsid w:val="00C66CEF"/>
    <w:rsid w:val="00C67AF1"/>
    <w:rsid w:val="00C67F56"/>
    <w:rsid w:val="00C71139"/>
    <w:rsid w:val="00C71331"/>
    <w:rsid w:val="00C714BE"/>
    <w:rsid w:val="00C72886"/>
    <w:rsid w:val="00C730C4"/>
    <w:rsid w:val="00C7453D"/>
    <w:rsid w:val="00C7719D"/>
    <w:rsid w:val="00C77224"/>
    <w:rsid w:val="00C8002C"/>
    <w:rsid w:val="00C80288"/>
    <w:rsid w:val="00C81485"/>
    <w:rsid w:val="00C819B8"/>
    <w:rsid w:val="00C82109"/>
    <w:rsid w:val="00C83A30"/>
    <w:rsid w:val="00C857CC"/>
    <w:rsid w:val="00C86754"/>
    <w:rsid w:val="00C873FB"/>
    <w:rsid w:val="00C900F5"/>
    <w:rsid w:val="00C90394"/>
    <w:rsid w:val="00C90458"/>
    <w:rsid w:val="00C91D0C"/>
    <w:rsid w:val="00C924BE"/>
    <w:rsid w:val="00C942C9"/>
    <w:rsid w:val="00C94827"/>
    <w:rsid w:val="00C95170"/>
    <w:rsid w:val="00C95887"/>
    <w:rsid w:val="00C95B52"/>
    <w:rsid w:val="00C96C0F"/>
    <w:rsid w:val="00C97DD7"/>
    <w:rsid w:val="00CA152B"/>
    <w:rsid w:val="00CA1CAD"/>
    <w:rsid w:val="00CA312E"/>
    <w:rsid w:val="00CA3849"/>
    <w:rsid w:val="00CA447A"/>
    <w:rsid w:val="00CA4C27"/>
    <w:rsid w:val="00CA5D2F"/>
    <w:rsid w:val="00CA650D"/>
    <w:rsid w:val="00CA6DC6"/>
    <w:rsid w:val="00CB173F"/>
    <w:rsid w:val="00CB1B46"/>
    <w:rsid w:val="00CB4183"/>
    <w:rsid w:val="00CB4230"/>
    <w:rsid w:val="00CB49D6"/>
    <w:rsid w:val="00CB544B"/>
    <w:rsid w:val="00CB6601"/>
    <w:rsid w:val="00CC1992"/>
    <w:rsid w:val="00CC3262"/>
    <w:rsid w:val="00CC3966"/>
    <w:rsid w:val="00CC71C3"/>
    <w:rsid w:val="00CC7423"/>
    <w:rsid w:val="00CC7D2F"/>
    <w:rsid w:val="00CD0CFC"/>
    <w:rsid w:val="00CD34CA"/>
    <w:rsid w:val="00CD37EC"/>
    <w:rsid w:val="00CD5DB6"/>
    <w:rsid w:val="00CD69FB"/>
    <w:rsid w:val="00CD731D"/>
    <w:rsid w:val="00CE0140"/>
    <w:rsid w:val="00CE15D9"/>
    <w:rsid w:val="00CE18DA"/>
    <w:rsid w:val="00CE19DB"/>
    <w:rsid w:val="00CE25D2"/>
    <w:rsid w:val="00CE4167"/>
    <w:rsid w:val="00CE51F4"/>
    <w:rsid w:val="00CE53EE"/>
    <w:rsid w:val="00CE75AC"/>
    <w:rsid w:val="00CE7910"/>
    <w:rsid w:val="00CF0108"/>
    <w:rsid w:val="00CF0610"/>
    <w:rsid w:val="00CF12F5"/>
    <w:rsid w:val="00CF13F3"/>
    <w:rsid w:val="00CF17F3"/>
    <w:rsid w:val="00CF1844"/>
    <w:rsid w:val="00CF3351"/>
    <w:rsid w:val="00CF376D"/>
    <w:rsid w:val="00CF3B12"/>
    <w:rsid w:val="00CF4AC0"/>
    <w:rsid w:val="00CF6B71"/>
    <w:rsid w:val="00CF6C2C"/>
    <w:rsid w:val="00D00E54"/>
    <w:rsid w:val="00D00F98"/>
    <w:rsid w:val="00D013E1"/>
    <w:rsid w:val="00D0201C"/>
    <w:rsid w:val="00D0205D"/>
    <w:rsid w:val="00D027A2"/>
    <w:rsid w:val="00D02EE7"/>
    <w:rsid w:val="00D03FC1"/>
    <w:rsid w:val="00D04C1D"/>
    <w:rsid w:val="00D05580"/>
    <w:rsid w:val="00D07143"/>
    <w:rsid w:val="00D07BA4"/>
    <w:rsid w:val="00D07DBC"/>
    <w:rsid w:val="00D10F79"/>
    <w:rsid w:val="00D116BC"/>
    <w:rsid w:val="00D11859"/>
    <w:rsid w:val="00D1187E"/>
    <w:rsid w:val="00D11D3C"/>
    <w:rsid w:val="00D122D8"/>
    <w:rsid w:val="00D125E3"/>
    <w:rsid w:val="00D1323E"/>
    <w:rsid w:val="00D13402"/>
    <w:rsid w:val="00D14470"/>
    <w:rsid w:val="00D146D1"/>
    <w:rsid w:val="00D1488D"/>
    <w:rsid w:val="00D14BF7"/>
    <w:rsid w:val="00D2127E"/>
    <w:rsid w:val="00D24FD1"/>
    <w:rsid w:val="00D2581E"/>
    <w:rsid w:val="00D27CC6"/>
    <w:rsid w:val="00D27E5C"/>
    <w:rsid w:val="00D332FE"/>
    <w:rsid w:val="00D33664"/>
    <w:rsid w:val="00D343A9"/>
    <w:rsid w:val="00D34850"/>
    <w:rsid w:val="00D35ED8"/>
    <w:rsid w:val="00D36772"/>
    <w:rsid w:val="00D36F9D"/>
    <w:rsid w:val="00D3749E"/>
    <w:rsid w:val="00D377A4"/>
    <w:rsid w:val="00D37FBA"/>
    <w:rsid w:val="00D409BD"/>
    <w:rsid w:val="00D40B8C"/>
    <w:rsid w:val="00D42F33"/>
    <w:rsid w:val="00D44FC1"/>
    <w:rsid w:val="00D45B37"/>
    <w:rsid w:val="00D45B7A"/>
    <w:rsid w:val="00D471FB"/>
    <w:rsid w:val="00D51A9D"/>
    <w:rsid w:val="00D537BE"/>
    <w:rsid w:val="00D541DC"/>
    <w:rsid w:val="00D555E8"/>
    <w:rsid w:val="00D55942"/>
    <w:rsid w:val="00D62067"/>
    <w:rsid w:val="00D624AB"/>
    <w:rsid w:val="00D625EC"/>
    <w:rsid w:val="00D627C1"/>
    <w:rsid w:val="00D62D3E"/>
    <w:rsid w:val="00D632E5"/>
    <w:rsid w:val="00D6398E"/>
    <w:rsid w:val="00D63DCB"/>
    <w:rsid w:val="00D64004"/>
    <w:rsid w:val="00D64A70"/>
    <w:rsid w:val="00D65699"/>
    <w:rsid w:val="00D6660A"/>
    <w:rsid w:val="00D70041"/>
    <w:rsid w:val="00D704C7"/>
    <w:rsid w:val="00D70FAE"/>
    <w:rsid w:val="00D7193D"/>
    <w:rsid w:val="00D71D54"/>
    <w:rsid w:val="00D74247"/>
    <w:rsid w:val="00D76819"/>
    <w:rsid w:val="00D76F68"/>
    <w:rsid w:val="00D772D9"/>
    <w:rsid w:val="00D7760D"/>
    <w:rsid w:val="00D7796F"/>
    <w:rsid w:val="00D80049"/>
    <w:rsid w:val="00D805BE"/>
    <w:rsid w:val="00D82087"/>
    <w:rsid w:val="00D821D9"/>
    <w:rsid w:val="00D828A5"/>
    <w:rsid w:val="00D83AB4"/>
    <w:rsid w:val="00D83BB7"/>
    <w:rsid w:val="00D84331"/>
    <w:rsid w:val="00D84A4B"/>
    <w:rsid w:val="00D84C17"/>
    <w:rsid w:val="00D84F62"/>
    <w:rsid w:val="00D85801"/>
    <w:rsid w:val="00D85F86"/>
    <w:rsid w:val="00D87A6D"/>
    <w:rsid w:val="00D91B9F"/>
    <w:rsid w:val="00D930B7"/>
    <w:rsid w:val="00D93820"/>
    <w:rsid w:val="00D94041"/>
    <w:rsid w:val="00D95B1A"/>
    <w:rsid w:val="00D96336"/>
    <w:rsid w:val="00D967FB"/>
    <w:rsid w:val="00DA041E"/>
    <w:rsid w:val="00DA0805"/>
    <w:rsid w:val="00DA0FF9"/>
    <w:rsid w:val="00DA473A"/>
    <w:rsid w:val="00DA5524"/>
    <w:rsid w:val="00DA55BF"/>
    <w:rsid w:val="00DA60B9"/>
    <w:rsid w:val="00DA6C28"/>
    <w:rsid w:val="00DA764D"/>
    <w:rsid w:val="00DA7EE5"/>
    <w:rsid w:val="00DB0911"/>
    <w:rsid w:val="00DB0978"/>
    <w:rsid w:val="00DB2003"/>
    <w:rsid w:val="00DB20EE"/>
    <w:rsid w:val="00DB2885"/>
    <w:rsid w:val="00DB2F1F"/>
    <w:rsid w:val="00DB31DA"/>
    <w:rsid w:val="00DB3C69"/>
    <w:rsid w:val="00DB408D"/>
    <w:rsid w:val="00DB431F"/>
    <w:rsid w:val="00DB5DB0"/>
    <w:rsid w:val="00DB6C63"/>
    <w:rsid w:val="00DB730F"/>
    <w:rsid w:val="00DB754F"/>
    <w:rsid w:val="00DC036E"/>
    <w:rsid w:val="00DC1C9D"/>
    <w:rsid w:val="00DC4470"/>
    <w:rsid w:val="00DC4622"/>
    <w:rsid w:val="00DC52FB"/>
    <w:rsid w:val="00DC639E"/>
    <w:rsid w:val="00DC64D9"/>
    <w:rsid w:val="00DC72B4"/>
    <w:rsid w:val="00DC76B3"/>
    <w:rsid w:val="00DD0AF6"/>
    <w:rsid w:val="00DD1E5D"/>
    <w:rsid w:val="00DD27CE"/>
    <w:rsid w:val="00DD2C78"/>
    <w:rsid w:val="00DD4579"/>
    <w:rsid w:val="00DD545D"/>
    <w:rsid w:val="00DD55C8"/>
    <w:rsid w:val="00DD634A"/>
    <w:rsid w:val="00DD678A"/>
    <w:rsid w:val="00DD74A1"/>
    <w:rsid w:val="00DD76AB"/>
    <w:rsid w:val="00DD777D"/>
    <w:rsid w:val="00DE03E1"/>
    <w:rsid w:val="00DE1A94"/>
    <w:rsid w:val="00DE2532"/>
    <w:rsid w:val="00DE3367"/>
    <w:rsid w:val="00DE4714"/>
    <w:rsid w:val="00DE4DFB"/>
    <w:rsid w:val="00DE507E"/>
    <w:rsid w:val="00DE5463"/>
    <w:rsid w:val="00DE6524"/>
    <w:rsid w:val="00DE6AB5"/>
    <w:rsid w:val="00DE7A09"/>
    <w:rsid w:val="00DF01FE"/>
    <w:rsid w:val="00DF0716"/>
    <w:rsid w:val="00E001E1"/>
    <w:rsid w:val="00E0273B"/>
    <w:rsid w:val="00E03478"/>
    <w:rsid w:val="00E03721"/>
    <w:rsid w:val="00E05747"/>
    <w:rsid w:val="00E05E37"/>
    <w:rsid w:val="00E0778A"/>
    <w:rsid w:val="00E10E12"/>
    <w:rsid w:val="00E11C99"/>
    <w:rsid w:val="00E1298D"/>
    <w:rsid w:val="00E16E59"/>
    <w:rsid w:val="00E17324"/>
    <w:rsid w:val="00E174A8"/>
    <w:rsid w:val="00E21DDC"/>
    <w:rsid w:val="00E2359F"/>
    <w:rsid w:val="00E25192"/>
    <w:rsid w:val="00E26DA7"/>
    <w:rsid w:val="00E26E0E"/>
    <w:rsid w:val="00E2761A"/>
    <w:rsid w:val="00E27FCC"/>
    <w:rsid w:val="00E3159A"/>
    <w:rsid w:val="00E31D03"/>
    <w:rsid w:val="00E31EFD"/>
    <w:rsid w:val="00E32549"/>
    <w:rsid w:val="00E32C18"/>
    <w:rsid w:val="00E32D6D"/>
    <w:rsid w:val="00E3327E"/>
    <w:rsid w:val="00E3388C"/>
    <w:rsid w:val="00E3408A"/>
    <w:rsid w:val="00E350D9"/>
    <w:rsid w:val="00E41255"/>
    <w:rsid w:val="00E4254B"/>
    <w:rsid w:val="00E426F8"/>
    <w:rsid w:val="00E42F65"/>
    <w:rsid w:val="00E43002"/>
    <w:rsid w:val="00E43A33"/>
    <w:rsid w:val="00E43BC4"/>
    <w:rsid w:val="00E44E03"/>
    <w:rsid w:val="00E45E89"/>
    <w:rsid w:val="00E47D79"/>
    <w:rsid w:val="00E514FF"/>
    <w:rsid w:val="00E52D8F"/>
    <w:rsid w:val="00E536B0"/>
    <w:rsid w:val="00E53A66"/>
    <w:rsid w:val="00E56B4E"/>
    <w:rsid w:val="00E56B99"/>
    <w:rsid w:val="00E614D6"/>
    <w:rsid w:val="00E625A1"/>
    <w:rsid w:val="00E63292"/>
    <w:rsid w:val="00E64AB4"/>
    <w:rsid w:val="00E6574B"/>
    <w:rsid w:val="00E66194"/>
    <w:rsid w:val="00E66D3A"/>
    <w:rsid w:val="00E703FA"/>
    <w:rsid w:val="00E71049"/>
    <w:rsid w:val="00E71FF8"/>
    <w:rsid w:val="00E7364A"/>
    <w:rsid w:val="00E73694"/>
    <w:rsid w:val="00E7442E"/>
    <w:rsid w:val="00E8026F"/>
    <w:rsid w:val="00E80572"/>
    <w:rsid w:val="00E80FF5"/>
    <w:rsid w:val="00E828C7"/>
    <w:rsid w:val="00E82C42"/>
    <w:rsid w:val="00E86243"/>
    <w:rsid w:val="00E863EB"/>
    <w:rsid w:val="00E8754D"/>
    <w:rsid w:val="00E903E7"/>
    <w:rsid w:val="00E9067B"/>
    <w:rsid w:val="00E9139F"/>
    <w:rsid w:val="00E91D9F"/>
    <w:rsid w:val="00E92A25"/>
    <w:rsid w:val="00E92B2C"/>
    <w:rsid w:val="00E92FD0"/>
    <w:rsid w:val="00E934D7"/>
    <w:rsid w:val="00E942EC"/>
    <w:rsid w:val="00E94F6D"/>
    <w:rsid w:val="00E954CC"/>
    <w:rsid w:val="00E95F43"/>
    <w:rsid w:val="00E9684A"/>
    <w:rsid w:val="00E972D9"/>
    <w:rsid w:val="00E97613"/>
    <w:rsid w:val="00E9761B"/>
    <w:rsid w:val="00EA0F7B"/>
    <w:rsid w:val="00EA15ED"/>
    <w:rsid w:val="00EA1873"/>
    <w:rsid w:val="00EA194A"/>
    <w:rsid w:val="00EA1E1B"/>
    <w:rsid w:val="00EA2DB0"/>
    <w:rsid w:val="00EA30AF"/>
    <w:rsid w:val="00EA7D26"/>
    <w:rsid w:val="00EB21EE"/>
    <w:rsid w:val="00EB261A"/>
    <w:rsid w:val="00EB3600"/>
    <w:rsid w:val="00EB3B24"/>
    <w:rsid w:val="00EB41A7"/>
    <w:rsid w:val="00EB4A1E"/>
    <w:rsid w:val="00EB5186"/>
    <w:rsid w:val="00EB5BA8"/>
    <w:rsid w:val="00EB6302"/>
    <w:rsid w:val="00EB7065"/>
    <w:rsid w:val="00EB728C"/>
    <w:rsid w:val="00EB78C2"/>
    <w:rsid w:val="00EC1DAE"/>
    <w:rsid w:val="00EC3843"/>
    <w:rsid w:val="00EC3956"/>
    <w:rsid w:val="00EC5600"/>
    <w:rsid w:val="00EC5BEF"/>
    <w:rsid w:val="00EC5E93"/>
    <w:rsid w:val="00EC69CE"/>
    <w:rsid w:val="00ED2D2D"/>
    <w:rsid w:val="00ED2DCE"/>
    <w:rsid w:val="00ED439F"/>
    <w:rsid w:val="00ED4683"/>
    <w:rsid w:val="00ED53EA"/>
    <w:rsid w:val="00ED6E78"/>
    <w:rsid w:val="00ED7D63"/>
    <w:rsid w:val="00EE1B08"/>
    <w:rsid w:val="00EE25C1"/>
    <w:rsid w:val="00EE2B15"/>
    <w:rsid w:val="00EE473C"/>
    <w:rsid w:val="00EE54A6"/>
    <w:rsid w:val="00EE60A9"/>
    <w:rsid w:val="00EE6423"/>
    <w:rsid w:val="00EF0616"/>
    <w:rsid w:val="00EF06BB"/>
    <w:rsid w:val="00EF0972"/>
    <w:rsid w:val="00EF09DD"/>
    <w:rsid w:val="00EF0CA4"/>
    <w:rsid w:val="00EF174E"/>
    <w:rsid w:val="00EF1D16"/>
    <w:rsid w:val="00EF2C82"/>
    <w:rsid w:val="00EF3541"/>
    <w:rsid w:val="00EF3840"/>
    <w:rsid w:val="00EF3CB9"/>
    <w:rsid w:val="00EF4A31"/>
    <w:rsid w:val="00EF4F15"/>
    <w:rsid w:val="00EF52B0"/>
    <w:rsid w:val="00EF68F1"/>
    <w:rsid w:val="00EF6EFD"/>
    <w:rsid w:val="00EF79E1"/>
    <w:rsid w:val="00F00939"/>
    <w:rsid w:val="00F009C5"/>
    <w:rsid w:val="00F01C31"/>
    <w:rsid w:val="00F01D2E"/>
    <w:rsid w:val="00F04E94"/>
    <w:rsid w:val="00F056CE"/>
    <w:rsid w:val="00F100C2"/>
    <w:rsid w:val="00F101DE"/>
    <w:rsid w:val="00F10841"/>
    <w:rsid w:val="00F10B1F"/>
    <w:rsid w:val="00F11255"/>
    <w:rsid w:val="00F11926"/>
    <w:rsid w:val="00F11ED5"/>
    <w:rsid w:val="00F12A5D"/>
    <w:rsid w:val="00F12FE1"/>
    <w:rsid w:val="00F14074"/>
    <w:rsid w:val="00F1499A"/>
    <w:rsid w:val="00F15BEF"/>
    <w:rsid w:val="00F168D4"/>
    <w:rsid w:val="00F17538"/>
    <w:rsid w:val="00F17718"/>
    <w:rsid w:val="00F17F33"/>
    <w:rsid w:val="00F2070E"/>
    <w:rsid w:val="00F21738"/>
    <w:rsid w:val="00F22F63"/>
    <w:rsid w:val="00F232B0"/>
    <w:rsid w:val="00F23735"/>
    <w:rsid w:val="00F23894"/>
    <w:rsid w:val="00F2481D"/>
    <w:rsid w:val="00F25C3B"/>
    <w:rsid w:val="00F25C48"/>
    <w:rsid w:val="00F25CBD"/>
    <w:rsid w:val="00F270BC"/>
    <w:rsid w:val="00F277B4"/>
    <w:rsid w:val="00F31D6F"/>
    <w:rsid w:val="00F32E6B"/>
    <w:rsid w:val="00F33331"/>
    <w:rsid w:val="00F3371E"/>
    <w:rsid w:val="00F400B2"/>
    <w:rsid w:val="00F405B5"/>
    <w:rsid w:val="00F40AF4"/>
    <w:rsid w:val="00F4103F"/>
    <w:rsid w:val="00F4142F"/>
    <w:rsid w:val="00F41E98"/>
    <w:rsid w:val="00F42327"/>
    <w:rsid w:val="00F42566"/>
    <w:rsid w:val="00F42642"/>
    <w:rsid w:val="00F42A9A"/>
    <w:rsid w:val="00F4309D"/>
    <w:rsid w:val="00F431F2"/>
    <w:rsid w:val="00F43380"/>
    <w:rsid w:val="00F4378E"/>
    <w:rsid w:val="00F440E3"/>
    <w:rsid w:val="00F44579"/>
    <w:rsid w:val="00F44EC5"/>
    <w:rsid w:val="00F451F9"/>
    <w:rsid w:val="00F464B0"/>
    <w:rsid w:val="00F469C7"/>
    <w:rsid w:val="00F47D28"/>
    <w:rsid w:val="00F51248"/>
    <w:rsid w:val="00F5135A"/>
    <w:rsid w:val="00F534DF"/>
    <w:rsid w:val="00F539E5"/>
    <w:rsid w:val="00F54F69"/>
    <w:rsid w:val="00F55690"/>
    <w:rsid w:val="00F56179"/>
    <w:rsid w:val="00F570BE"/>
    <w:rsid w:val="00F57115"/>
    <w:rsid w:val="00F578E1"/>
    <w:rsid w:val="00F60605"/>
    <w:rsid w:val="00F60893"/>
    <w:rsid w:val="00F617C2"/>
    <w:rsid w:val="00F61A5D"/>
    <w:rsid w:val="00F622C8"/>
    <w:rsid w:val="00F6387B"/>
    <w:rsid w:val="00F64BE0"/>
    <w:rsid w:val="00F665A0"/>
    <w:rsid w:val="00F67DDA"/>
    <w:rsid w:val="00F70591"/>
    <w:rsid w:val="00F715C0"/>
    <w:rsid w:val="00F71E89"/>
    <w:rsid w:val="00F72651"/>
    <w:rsid w:val="00F73F52"/>
    <w:rsid w:val="00F74875"/>
    <w:rsid w:val="00F7558C"/>
    <w:rsid w:val="00F80943"/>
    <w:rsid w:val="00F80BA3"/>
    <w:rsid w:val="00F81A37"/>
    <w:rsid w:val="00F823AE"/>
    <w:rsid w:val="00F82431"/>
    <w:rsid w:val="00F82C10"/>
    <w:rsid w:val="00F83226"/>
    <w:rsid w:val="00F84E55"/>
    <w:rsid w:val="00F8553F"/>
    <w:rsid w:val="00F8682F"/>
    <w:rsid w:val="00F8783E"/>
    <w:rsid w:val="00F87D90"/>
    <w:rsid w:val="00F901A4"/>
    <w:rsid w:val="00F9061B"/>
    <w:rsid w:val="00F90B1E"/>
    <w:rsid w:val="00F942AB"/>
    <w:rsid w:val="00F9456A"/>
    <w:rsid w:val="00F94644"/>
    <w:rsid w:val="00F94DCC"/>
    <w:rsid w:val="00F954C3"/>
    <w:rsid w:val="00F956CA"/>
    <w:rsid w:val="00F95FB9"/>
    <w:rsid w:val="00F9653E"/>
    <w:rsid w:val="00F96AAE"/>
    <w:rsid w:val="00F96EE1"/>
    <w:rsid w:val="00FA1142"/>
    <w:rsid w:val="00FA2099"/>
    <w:rsid w:val="00FA268F"/>
    <w:rsid w:val="00FA2DCB"/>
    <w:rsid w:val="00FA3F43"/>
    <w:rsid w:val="00FA5DC5"/>
    <w:rsid w:val="00FA6525"/>
    <w:rsid w:val="00FA6815"/>
    <w:rsid w:val="00FA7F9D"/>
    <w:rsid w:val="00FB0405"/>
    <w:rsid w:val="00FB09E8"/>
    <w:rsid w:val="00FB1314"/>
    <w:rsid w:val="00FB20C8"/>
    <w:rsid w:val="00FB2193"/>
    <w:rsid w:val="00FB2677"/>
    <w:rsid w:val="00FB2823"/>
    <w:rsid w:val="00FB2F64"/>
    <w:rsid w:val="00FB6D61"/>
    <w:rsid w:val="00FC0C33"/>
    <w:rsid w:val="00FC10A9"/>
    <w:rsid w:val="00FC12B6"/>
    <w:rsid w:val="00FC12D2"/>
    <w:rsid w:val="00FC140B"/>
    <w:rsid w:val="00FC19A5"/>
    <w:rsid w:val="00FC3E1E"/>
    <w:rsid w:val="00FC5DF7"/>
    <w:rsid w:val="00FC70B8"/>
    <w:rsid w:val="00FC7AE6"/>
    <w:rsid w:val="00FC7F26"/>
    <w:rsid w:val="00FD0A8E"/>
    <w:rsid w:val="00FD112C"/>
    <w:rsid w:val="00FD1CB6"/>
    <w:rsid w:val="00FD2B55"/>
    <w:rsid w:val="00FD394E"/>
    <w:rsid w:val="00FD4579"/>
    <w:rsid w:val="00FD7947"/>
    <w:rsid w:val="00FE047F"/>
    <w:rsid w:val="00FE0911"/>
    <w:rsid w:val="00FE1DEB"/>
    <w:rsid w:val="00FE233F"/>
    <w:rsid w:val="00FE38E3"/>
    <w:rsid w:val="00FE6EC9"/>
    <w:rsid w:val="00FE7C20"/>
    <w:rsid w:val="00FF04E6"/>
    <w:rsid w:val="00FF08E2"/>
    <w:rsid w:val="00FF0906"/>
    <w:rsid w:val="00FF0B50"/>
    <w:rsid w:val="00FF0D9D"/>
    <w:rsid w:val="00FF3A21"/>
    <w:rsid w:val="00FF492D"/>
    <w:rsid w:val="00FF4B04"/>
    <w:rsid w:val="00FF4C4A"/>
    <w:rsid w:val="00FF5838"/>
    <w:rsid w:val="00FF64A7"/>
    <w:rsid w:val="00FF708C"/>
    <w:rsid w:val="00FF715C"/>
    <w:rsid w:val="00FF7239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,2"/>
      <o:rules v:ext="edit">
        <o:r id="V:Rule1" type="connector" idref="#_x0000_s2416"/>
        <o:r id="V:Rule2" type="connector" idref="#_x0000_s2417"/>
        <o:r id="V:Rule3" type="connector" idref="#_x0000_s2418"/>
        <o:r id="V:Rule4" type="connector" idref="#_x0000_s2419"/>
        <o:r id="V:Rule5" type="connector" idref="#_x0000_s2420"/>
        <o:r id="V:Rule6" type="connector" idref="#_x0000_s2421"/>
        <o:r id="V:Rule7" type="connector" idref="#_x0000_s2422"/>
        <o:r id="V:Rule8" type="connector" idref="#_x0000_s2423"/>
        <o:r id="V:Rule9" type="connector" idref="#_x0000_s2424"/>
        <o:r id="V:Rule10" type="connector" idref="#_x0000_s2466"/>
        <o:r id="V:Rule11" type="connector" idref="#_x0000_s2467"/>
        <o:r id="V:Rule12" type="connector" idref="#_x0000_s2468"/>
        <o:r id="V:Rule13" type="connector" idref="#_x0000_s2469"/>
        <o:r id="V:Rule14" type="connector" idref="#_x0000_s2470"/>
        <o:r id="V:Rule15" type="connector" idref="#_x0000_s2471"/>
        <o:r id="V:Rule16" type="connector" idref="#_x0000_s2472"/>
        <o:r id="V:Rule17" type="connector" idref="#_x0000_s2473"/>
        <o:r id="V:Rule18" type="connector" idref="#_x0000_s2474"/>
        <o:r id="V:Rule19" type="connector" idref="#_x0000_s24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590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90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590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05907"/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B05907"/>
    <w:rPr>
      <w:b/>
      <w:bCs/>
      <w:sz w:val="28"/>
      <w:szCs w:val="28"/>
    </w:rPr>
  </w:style>
  <w:style w:type="paragraph" w:styleId="a3">
    <w:name w:val="Body Text"/>
    <w:basedOn w:val="a"/>
    <w:link w:val="a4"/>
    <w:rsid w:val="000C0379"/>
    <w:p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rsid w:val="000C03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0C037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link w:val="a5"/>
    <w:uiPriority w:val="99"/>
    <w:rsid w:val="000C037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0C0379"/>
  </w:style>
  <w:style w:type="paragraph" w:styleId="a8">
    <w:name w:val="footer"/>
    <w:basedOn w:val="a"/>
    <w:link w:val="a9"/>
    <w:uiPriority w:val="99"/>
    <w:rsid w:val="000C037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0C037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B05907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B0590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05907"/>
  </w:style>
  <w:style w:type="paragraph" w:styleId="ad">
    <w:name w:val="endnote text"/>
    <w:basedOn w:val="a"/>
    <w:link w:val="ae"/>
    <w:uiPriority w:val="99"/>
    <w:unhideWhenUsed/>
    <w:rsid w:val="00B0590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05907"/>
  </w:style>
  <w:style w:type="character" w:styleId="af">
    <w:name w:val="Hyperlink"/>
    <w:uiPriority w:val="99"/>
    <w:unhideWhenUsed/>
    <w:rsid w:val="00B05907"/>
    <w:rPr>
      <w:color w:val="0000FF"/>
      <w:u w:val="single"/>
    </w:rPr>
  </w:style>
  <w:style w:type="paragraph" w:styleId="af0">
    <w:name w:val="Body Text First Indent"/>
    <w:basedOn w:val="a3"/>
    <w:link w:val="af1"/>
    <w:rsid w:val="00B05907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1">
    <w:name w:val="Красная строка Знак"/>
    <w:link w:val="af0"/>
    <w:rsid w:val="00B0590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rsid w:val="00B05907"/>
    <w:pPr>
      <w:widowControl w:val="0"/>
      <w:shd w:val="clear" w:color="auto" w:fill="FFFFFF"/>
      <w:spacing w:after="0" w:line="360" w:lineRule="auto"/>
      <w:ind w:left="28" w:right="28" w:firstLine="391"/>
      <w:jc w:val="both"/>
    </w:pPr>
    <w:rPr>
      <w:rFonts w:ascii="Times New Roman" w:hAnsi="Times New Roman"/>
      <w:spacing w:val="-4"/>
      <w:sz w:val="24"/>
      <w:szCs w:val="20"/>
    </w:rPr>
  </w:style>
  <w:style w:type="paragraph" w:styleId="af3">
    <w:name w:val="Body Text Indent"/>
    <w:basedOn w:val="a"/>
    <w:link w:val="af4"/>
    <w:rsid w:val="00B05907"/>
    <w:pPr>
      <w:widowControl w:val="0"/>
      <w:shd w:val="clear" w:color="auto" w:fill="FFFFFF"/>
      <w:autoSpaceDE w:val="0"/>
      <w:autoSpaceDN w:val="0"/>
      <w:adjustRightInd w:val="0"/>
      <w:spacing w:after="0" w:line="413" w:lineRule="exact"/>
      <w:ind w:left="115"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B05907"/>
    <w:rPr>
      <w:rFonts w:ascii="Times New Roman" w:hAnsi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B05907"/>
    <w:pPr>
      <w:shd w:val="clear" w:color="auto" w:fill="FFFFFF"/>
      <w:spacing w:before="14" w:after="0" w:line="360" w:lineRule="auto"/>
      <w:ind w:firstLine="591"/>
    </w:pPr>
    <w:rPr>
      <w:rFonts w:ascii="Times New Roman" w:hAnsi="Times New Roman"/>
      <w:spacing w:val="-2"/>
      <w:sz w:val="28"/>
      <w:szCs w:val="24"/>
    </w:rPr>
  </w:style>
  <w:style w:type="character" w:customStyle="1" w:styleId="22">
    <w:name w:val="Основной текст с отступом 2 Знак"/>
    <w:link w:val="21"/>
    <w:rsid w:val="00B05907"/>
    <w:rPr>
      <w:rFonts w:ascii="Times New Roman" w:hAnsi="Times New Roman"/>
      <w:spacing w:val="-2"/>
      <w:sz w:val="28"/>
      <w:szCs w:val="24"/>
      <w:shd w:val="clear" w:color="auto" w:fill="FFFFFF"/>
    </w:rPr>
  </w:style>
  <w:style w:type="paragraph" w:styleId="23">
    <w:name w:val="Body Text 2"/>
    <w:basedOn w:val="a"/>
    <w:link w:val="24"/>
    <w:rsid w:val="00B05907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rsid w:val="00B05907"/>
    <w:rPr>
      <w:rFonts w:ascii="Times New Roman" w:hAnsi="Times New Roman"/>
      <w:sz w:val="28"/>
      <w:szCs w:val="24"/>
    </w:rPr>
  </w:style>
  <w:style w:type="paragraph" w:styleId="31">
    <w:name w:val="Body Text 3"/>
    <w:basedOn w:val="a"/>
    <w:link w:val="32"/>
    <w:rsid w:val="00B05907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rsid w:val="00B05907"/>
    <w:rPr>
      <w:rFonts w:ascii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B059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05907"/>
    <w:rPr>
      <w:rFonts w:ascii="Times New Roman" w:hAnsi="Times New Roman"/>
      <w:sz w:val="16"/>
      <w:szCs w:val="16"/>
    </w:rPr>
  </w:style>
  <w:style w:type="paragraph" w:styleId="af5">
    <w:name w:val="Title"/>
    <w:basedOn w:val="a"/>
    <w:link w:val="af6"/>
    <w:qFormat/>
    <w:rsid w:val="00B0590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6">
    <w:name w:val="Название Знак"/>
    <w:link w:val="af5"/>
    <w:rsid w:val="00B05907"/>
    <w:rPr>
      <w:rFonts w:ascii="Times New Roman" w:hAnsi="Times New Roman"/>
      <w:b/>
      <w:sz w:val="24"/>
    </w:rPr>
  </w:style>
  <w:style w:type="character" w:customStyle="1" w:styleId="af7">
    <w:name w:val="Текст выноски Знак"/>
    <w:link w:val="af8"/>
    <w:uiPriority w:val="99"/>
    <w:semiHidden/>
    <w:rsid w:val="00B05907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8"/>
    <w:uiPriority w:val="99"/>
    <w:semiHidden/>
    <w:rsid w:val="00B05907"/>
    <w:rPr>
      <w:rFonts w:ascii="Tahoma" w:hAnsi="Tahoma" w:cs="Tahoma"/>
      <w:sz w:val="16"/>
      <w:szCs w:val="16"/>
    </w:rPr>
  </w:style>
  <w:style w:type="paragraph" w:customStyle="1" w:styleId="12">
    <w:name w:val=" Знак1"/>
    <w:basedOn w:val="a"/>
    <w:rsid w:val="00B059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B0590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 Знак Знак Знак Знак"/>
    <w:basedOn w:val="a"/>
    <w:rsid w:val="00B0590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çàãîëîâîê 3"/>
    <w:basedOn w:val="a"/>
    <w:next w:val="a"/>
    <w:rsid w:val="00B05907"/>
    <w:pPr>
      <w:keepNext/>
      <w:widowControl w:val="0"/>
      <w:spacing w:before="120" w:after="120" w:line="240" w:lineRule="auto"/>
      <w:jc w:val="center"/>
    </w:pPr>
    <w:rPr>
      <w:rFonts w:ascii="Times New Roman" w:hAnsi="Times New Roman"/>
      <w:b/>
      <w:sz w:val="16"/>
      <w:szCs w:val="20"/>
    </w:rPr>
  </w:style>
  <w:style w:type="character" w:styleId="afb">
    <w:name w:val="footnote reference"/>
    <w:uiPriority w:val="99"/>
    <w:unhideWhenUsed/>
    <w:rsid w:val="001B65EB"/>
    <w:rPr>
      <w:vertAlign w:val="superscript"/>
    </w:rPr>
  </w:style>
  <w:style w:type="character" w:styleId="afc">
    <w:name w:val="endnote reference"/>
    <w:uiPriority w:val="99"/>
    <w:semiHidden/>
    <w:unhideWhenUsed/>
    <w:rsid w:val="00A56001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404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25DB4"/>
  </w:style>
  <w:style w:type="character" w:customStyle="1" w:styleId="CharAttribute5">
    <w:name w:val="CharAttribute5"/>
    <w:rsid w:val="000C683A"/>
    <w:rPr>
      <w:rFonts w:ascii="Times New Roman" w:eastAsia="Times New Roman"/>
      <w:sz w:val="28"/>
    </w:rPr>
  </w:style>
  <w:style w:type="character" w:styleId="afd">
    <w:name w:val="Strong"/>
    <w:uiPriority w:val="22"/>
    <w:qFormat/>
    <w:rsid w:val="000C683A"/>
    <w:rPr>
      <w:b/>
      <w:bCs/>
    </w:rPr>
  </w:style>
  <w:style w:type="character" w:customStyle="1" w:styleId="hps">
    <w:name w:val="hps"/>
    <w:uiPriority w:val="99"/>
    <w:rsid w:val="008968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505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4310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elibrary.ru/contents.asp?issueid=1113300&amp;selid=189154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library.ru/contents.asp?issueid=11133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3578595317725754"/>
          <c:y val="9.2857142857142888E-2"/>
          <c:w val="0.59197324414715702"/>
          <c:h val="0.75476190476190452"/>
        </c:manualLayout>
      </c:layout>
      <c:barChart>
        <c:barDir val="bar"/>
        <c:grouping val="clustered"/>
        <c:ser>
          <c:idx val="2"/>
          <c:order val="0"/>
          <c:tx>
            <c:strRef>
              <c:f>Sheet1!$B$1</c:f>
              <c:strCache>
                <c:ptCount val="1"/>
                <c:pt idx="0">
                  <c:v>1985 год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Sheet1!$A$2:$A$11</c:f>
              <c:strCache>
                <c:ptCount val="10"/>
                <c:pt idx="0">
                  <c:v>СССР</c:v>
                </c:pt>
                <c:pt idx="1">
                  <c:v>США</c:v>
                </c:pt>
                <c:pt idx="2">
                  <c:v>Саудовская Аравия</c:v>
                </c:pt>
                <c:pt idx="3">
                  <c:v>Мексика</c:v>
                </c:pt>
                <c:pt idx="4">
                  <c:v>Великобритания</c:v>
                </c:pt>
                <c:pt idx="5">
                  <c:v>Китай</c:v>
                </c:pt>
                <c:pt idx="6">
                  <c:v>Иран</c:v>
                </c:pt>
                <c:pt idx="7">
                  <c:v>Канада</c:v>
                </c:pt>
                <c:pt idx="8">
                  <c:v>Венесуэла</c:v>
                </c:pt>
                <c:pt idx="9">
                  <c:v>Нигерия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11.9</c:v>
                </c:pt>
                <c:pt idx="1">
                  <c:v>11.2</c:v>
                </c:pt>
                <c:pt idx="2">
                  <c:v>3.8</c:v>
                </c:pt>
                <c:pt idx="3">
                  <c:v>3</c:v>
                </c:pt>
                <c:pt idx="4">
                  <c:v>2.7</c:v>
                </c:pt>
                <c:pt idx="5">
                  <c:v>2.5</c:v>
                </c:pt>
                <c:pt idx="6">
                  <c:v>2.2999999999999998</c:v>
                </c:pt>
                <c:pt idx="7">
                  <c:v>1.8</c:v>
                </c:pt>
                <c:pt idx="8">
                  <c:v>1.8</c:v>
                </c:pt>
                <c:pt idx="9">
                  <c:v>1.5</c:v>
                </c:pt>
              </c:numCache>
            </c:numRef>
          </c:val>
        </c:ser>
        <c:dLbls>
          <c:showVal val="1"/>
        </c:dLbls>
        <c:axId val="168742912"/>
        <c:axId val="168744448"/>
      </c:barChart>
      <c:catAx>
        <c:axId val="168742912"/>
        <c:scaling>
          <c:orientation val="maxMin"/>
        </c:scaling>
        <c:axPos val="l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744448"/>
        <c:crosses val="autoZero"/>
        <c:auto val="1"/>
        <c:lblAlgn val="ctr"/>
        <c:lblOffset val="100"/>
        <c:tickLblSkip val="1"/>
        <c:tickMarkSkip val="1"/>
      </c:catAx>
      <c:valAx>
        <c:axId val="168744448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млн. барр./сутки</a:t>
                </a:r>
              </a:p>
            </c:rich>
          </c:tx>
          <c:layout>
            <c:manualLayout>
              <c:xMode val="edge"/>
              <c:yMode val="edge"/>
              <c:x val="0.61538461538461564"/>
              <c:y val="0.93095238095238075"/>
            </c:manualLayout>
          </c:layout>
          <c:spPr>
            <a:noFill/>
            <a:ln w="25400">
              <a:noFill/>
            </a:ln>
          </c:spPr>
        </c:title>
        <c:numFmt formatCode="0.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742912"/>
        <c:crosses val="max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48829431438127091"/>
          <c:y val="0"/>
          <c:w val="0.31103678929765916"/>
          <c:h val="6.1904761904761914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368794326241148"/>
          <c:y val="9.2636579572446628E-2"/>
          <c:w val="0.66312056737588698"/>
          <c:h val="0.75534441805225661"/>
        </c:manualLayout>
      </c:layout>
      <c:barChart>
        <c:barDir val="bar"/>
        <c:grouping val="clustered"/>
        <c:ser>
          <c:idx val="2"/>
          <c:order val="0"/>
          <c:tx>
            <c:strRef>
              <c:f>Sheet1!$B$1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Sheet1!$A$2:$A$11</c:f>
              <c:strCache>
                <c:ptCount val="10"/>
                <c:pt idx="0">
                  <c:v>Россия</c:v>
                </c:pt>
                <c:pt idx="1">
                  <c:v>Саудовская Аравия</c:v>
                </c:pt>
                <c:pt idx="2">
                  <c:v>США</c:v>
                </c:pt>
                <c:pt idx="3">
                  <c:v>Канада</c:v>
                </c:pt>
                <c:pt idx="4">
                  <c:v>Китай</c:v>
                </c:pt>
                <c:pt idx="5">
                  <c:v>Ирак</c:v>
                </c:pt>
                <c:pt idx="6">
                  <c:v>Иран</c:v>
                </c:pt>
                <c:pt idx="7">
                  <c:v>ОАЭ</c:v>
                </c:pt>
                <c:pt idx="8">
                  <c:v>Кувейт</c:v>
                </c:pt>
                <c:pt idx="9">
                  <c:v>Мексика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10.9</c:v>
                </c:pt>
                <c:pt idx="1">
                  <c:v>9.5</c:v>
                </c:pt>
                <c:pt idx="2">
                  <c:v>8.6</c:v>
                </c:pt>
                <c:pt idx="3">
                  <c:v>4.2</c:v>
                </c:pt>
                <c:pt idx="4">
                  <c:v>4.0999999999999996</c:v>
                </c:pt>
                <c:pt idx="5">
                  <c:v>3.3</c:v>
                </c:pt>
                <c:pt idx="6">
                  <c:v>2.8</c:v>
                </c:pt>
                <c:pt idx="7">
                  <c:v>2.7</c:v>
                </c:pt>
                <c:pt idx="8">
                  <c:v>2.6</c:v>
                </c:pt>
                <c:pt idx="9">
                  <c:v>2.6</c:v>
                </c:pt>
              </c:numCache>
            </c:numRef>
          </c:val>
        </c:ser>
        <c:dLbls>
          <c:showVal val="1"/>
        </c:dLbls>
        <c:axId val="173687936"/>
        <c:axId val="173689472"/>
      </c:barChart>
      <c:catAx>
        <c:axId val="173687936"/>
        <c:scaling>
          <c:orientation val="maxMin"/>
        </c:scaling>
        <c:axPos val="l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89472"/>
        <c:crosses val="autoZero"/>
        <c:auto val="1"/>
        <c:lblAlgn val="ctr"/>
        <c:lblOffset val="100"/>
        <c:tickLblSkip val="1"/>
        <c:tickMarkSkip val="1"/>
      </c:catAx>
      <c:valAx>
        <c:axId val="17368947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млн. барр./сутки</a:t>
                </a:r>
              </a:p>
            </c:rich>
          </c:tx>
          <c:layout>
            <c:manualLayout>
              <c:xMode val="edge"/>
              <c:yMode val="edge"/>
              <c:x val="0.59219858156028349"/>
              <c:y val="0.93111638954869358"/>
            </c:manualLayout>
          </c:layout>
          <c:spPr>
            <a:noFill/>
            <a:ln w="25399">
              <a:noFill/>
            </a:ln>
          </c:spPr>
        </c:title>
        <c:numFmt formatCode="0.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87936"/>
        <c:crosses val="max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42907801418439734"/>
          <c:y val="0"/>
          <c:w val="0.32978723404255328"/>
          <c:h val="6.175771971496436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813559322033899"/>
          <c:y val="3.2154340836012874E-2"/>
          <c:w val="0.76779661016949219"/>
          <c:h val="0.56270096463022512"/>
        </c:manualLayout>
      </c:layout>
      <c:bar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Прочее</c:v>
                </c:pt>
              </c:strCache>
            </c:strRef>
          </c:tx>
          <c:spPr>
            <a:pattFill prst="horzBrick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Pt>
            <c:idx val="3"/>
            <c:spPr>
              <a:noFill/>
              <a:ln w="25399">
                <a:noFill/>
              </a:ln>
            </c:spPr>
          </c:dPt>
          <c:dLbls>
            <c:dLbl>
              <c:idx val="3"/>
              <c:delete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Sheet1!$B$1:$E$1</c:f>
              <c:strCache>
                <c:ptCount val="4"/>
                <c:pt idx="0">
                  <c:v>2006</c:v>
                </c:pt>
                <c:pt idx="1">
                  <c:v>2010</c:v>
                </c:pt>
                <c:pt idx="2">
                  <c:v>2013</c:v>
                </c:pt>
                <c:pt idx="3">
                  <c:v>Темп роста , 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156.6</c:v>
                </c:pt>
                <c:pt idx="1">
                  <c:v>192.1</c:v>
                </c:pt>
                <c:pt idx="2">
                  <c:v>244.4</c:v>
                </c:pt>
                <c:pt idx="3">
                  <c:v>156.1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Нефтепродукты</c:v>
                </c:pt>
              </c:strCache>
            </c:strRef>
          </c:tx>
          <c:spPr>
            <a:pattFill prst="lgConfetti">
              <a:fgClr>
                <a:srgbClr val="FFFFFF"/>
              </a:fgClr>
              <a:bgClr>
                <a:srgbClr val="C0C0C0"/>
              </a:bgClr>
            </a:pattFill>
            <a:ln w="12700">
              <a:solidFill>
                <a:srgbClr val="000000"/>
              </a:solidFill>
              <a:prstDash val="solid"/>
            </a:ln>
          </c:spPr>
          <c:dPt>
            <c:idx val="3"/>
            <c:spPr>
              <a:noFill/>
              <a:ln w="25399">
                <a:noFill/>
              </a:ln>
            </c:spPr>
          </c:dPt>
          <c:dLbls>
            <c:dLbl>
              <c:idx val="3"/>
              <c:delete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Sheet1!$B$1:$E$1</c:f>
              <c:strCache>
                <c:ptCount val="4"/>
                <c:pt idx="0">
                  <c:v>2006</c:v>
                </c:pt>
                <c:pt idx="1">
                  <c:v>2010</c:v>
                </c:pt>
                <c:pt idx="2">
                  <c:v>2013</c:v>
                </c:pt>
                <c:pt idx="3">
                  <c:v>Темп роста , 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44.7</c:v>
                </c:pt>
                <c:pt idx="1">
                  <c:v>70.2</c:v>
                </c:pt>
                <c:pt idx="2">
                  <c:v>109.2</c:v>
                </c:pt>
                <c:pt idx="3">
                  <c:v>244.3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Нефть сырая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3"/>
            <c:spPr>
              <a:noFill/>
              <a:ln w="25399">
                <a:noFill/>
              </a:ln>
            </c:spPr>
          </c:dPt>
          <c:dLbls>
            <c:dLbl>
              <c:idx val="3"/>
              <c:delete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2006</c:v>
                </c:pt>
                <c:pt idx="1">
                  <c:v>2010</c:v>
                </c:pt>
                <c:pt idx="2">
                  <c:v>2013</c:v>
                </c:pt>
                <c:pt idx="3">
                  <c:v>Темп роста , 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102.3</c:v>
                </c:pt>
                <c:pt idx="1">
                  <c:v>134.80000000000001</c:v>
                </c:pt>
                <c:pt idx="2">
                  <c:v>173.7</c:v>
                </c:pt>
                <c:pt idx="3">
                  <c:v>169.8</c:v>
                </c:pt>
              </c:numCache>
            </c:numRef>
          </c:val>
        </c:ser>
        <c:dLbls>
          <c:showVal val="1"/>
        </c:dLbls>
        <c:overlap val="100"/>
        <c:serLines>
          <c:spPr>
            <a:ln w="12700">
              <a:solidFill>
                <a:srgbClr val="000000"/>
              </a:solidFill>
              <a:prstDash val="sysDash"/>
            </a:ln>
          </c:spPr>
        </c:serLines>
        <c:axId val="173845120"/>
        <c:axId val="173855104"/>
      </c:barChart>
      <c:catAx>
        <c:axId val="173845120"/>
        <c:scaling>
          <c:orientation val="minMax"/>
        </c:scaling>
        <c:axPos val="l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855104"/>
        <c:crosses val="autoZero"/>
        <c:auto val="1"/>
        <c:lblAlgn val="ctr"/>
        <c:lblOffset val="100"/>
        <c:tickLblSkip val="1"/>
        <c:tickMarkSkip val="1"/>
      </c:catAx>
      <c:valAx>
        <c:axId val="17385510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845120"/>
        <c:crosses val="autoZero"/>
        <c:crossBetween val="between"/>
      </c:valAx>
      <c:dTable>
        <c:showHorzBorder val="1"/>
        <c:showVertBorder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542372881355923"/>
          <c:y val="4.7923322683706082E-2"/>
          <c:w val="0.76949152542372901"/>
          <c:h val="0.74440894568690097"/>
        </c:manualLayout>
      </c:layout>
      <c:barChart>
        <c:barDir val="col"/>
        <c:grouping val="clustered"/>
        <c:ser>
          <c:idx val="0"/>
          <c:order val="1"/>
          <c:tx>
            <c:strRef>
              <c:f>Sheet1!$A$3</c:f>
              <c:strCache>
                <c:ptCount val="1"/>
                <c:pt idx="0">
                  <c:v>в % к 2005 году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98.5</c:v>
                </c:pt>
                <c:pt idx="2">
                  <c:v>100.8</c:v>
                </c:pt>
                <c:pt idx="3">
                  <c:v>95.2</c:v>
                </c:pt>
                <c:pt idx="4">
                  <c:v>98.6</c:v>
                </c:pt>
                <c:pt idx="5">
                  <c:v>98.1</c:v>
                </c:pt>
                <c:pt idx="6">
                  <c:v>96.1</c:v>
                </c:pt>
                <c:pt idx="7">
                  <c:v>95.2</c:v>
                </c:pt>
                <c:pt idx="8">
                  <c:v>93.3</c:v>
                </c:pt>
              </c:numCache>
            </c:numRef>
          </c:val>
        </c:ser>
        <c:dLbls>
          <c:showVal val="1"/>
        </c:dLbls>
        <c:axId val="173718912"/>
        <c:axId val="173721088"/>
      </c:barChart>
      <c:lineChart>
        <c:grouping val="standard"/>
        <c:ser>
          <c:idx val="2"/>
          <c:order val="0"/>
          <c:tx>
            <c:strRef>
              <c:f>Sheet1!$A$2</c:f>
              <c:strCache>
                <c:ptCount val="1"/>
                <c:pt idx="0">
                  <c:v>млн. тонн</c:v>
                </c:pt>
              </c:strCache>
            </c:strRef>
          </c:tx>
          <c:spPr>
            <a:ln w="25399">
              <a:solidFill>
                <a:srgbClr val="80808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969696"/>
              </a:solidFill>
              <a:ln>
                <a:solidFill>
                  <a:srgbClr val="808080"/>
                </a:solidFill>
                <a:prstDash val="solid"/>
              </a:ln>
            </c:spPr>
          </c:marker>
          <c:dLbls>
            <c:numFmt formatCode="0.0" sourceLinked="0"/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251.8</c:v>
                </c:pt>
                <c:pt idx="1">
                  <c:v>248</c:v>
                </c:pt>
                <c:pt idx="2">
                  <c:v>253.9</c:v>
                </c:pt>
                <c:pt idx="3">
                  <c:v>239.7</c:v>
                </c:pt>
                <c:pt idx="4">
                  <c:v>248.3</c:v>
                </c:pt>
                <c:pt idx="5">
                  <c:v>247</c:v>
                </c:pt>
                <c:pt idx="6">
                  <c:v>242.1</c:v>
                </c:pt>
                <c:pt idx="7">
                  <c:v>239.7</c:v>
                </c:pt>
                <c:pt idx="8">
                  <c:v>235</c:v>
                </c:pt>
              </c:numCache>
            </c:numRef>
          </c:val>
        </c:ser>
        <c:dLbls>
          <c:showVal val="1"/>
        </c:dLbls>
        <c:marker val="1"/>
        <c:axId val="173723008"/>
        <c:axId val="174154880"/>
      </c:lineChart>
      <c:catAx>
        <c:axId val="173718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Годы</a:t>
                </a:r>
              </a:p>
            </c:rich>
          </c:tx>
          <c:layout>
            <c:manualLayout>
              <c:xMode val="edge"/>
              <c:yMode val="edge"/>
              <c:x val="0.84576271186440677"/>
              <c:y val="0.88178913738019193"/>
            </c:manualLayout>
          </c:layout>
          <c:spPr>
            <a:noFill/>
            <a:ln w="25399">
              <a:noFill/>
            </a:ln>
          </c:spPr>
        </c:title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721088"/>
        <c:crosses val="autoZero"/>
        <c:auto val="1"/>
        <c:lblAlgn val="ctr"/>
        <c:lblOffset val="100"/>
        <c:tickLblSkip val="1"/>
        <c:tickMarkSkip val="1"/>
      </c:catAx>
      <c:valAx>
        <c:axId val="173721088"/>
        <c:scaling>
          <c:orientation val="minMax"/>
          <c:max val="180"/>
          <c:min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в % к 2005 году</a:t>
                </a:r>
              </a:p>
            </c:rich>
          </c:tx>
          <c:layout>
            <c:manualLayout>
              <c:xMode val="edge"/>
              <c:yMode val="edge"/>
              <c:x val="0"/>
              <c:y val="1.2779552715654953E-2"/>
            </c:manualLayout>
          </c:layout>
          <c:spPr>
            <a:noFill/>
            <a:ln w="25399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718912"/>
        <c:crosses val="autoZero"/>
        <c:crossBetween val="between"/>
        <c:majorUnit val="20"/>
      </c:valAx>
      <c:catAx>
        <c:axId val="173723008"/>
        <c:scaling>
          <c:orientation val="minMax"/>
        </c:scaling>
        <c:delete val="1"/>
        <c:axPos val="b"/>
        <c:numFmt formatCode="General" sourceLinked="1"/>
        <c:tickLblPos val="none"/>
        <c:crossAx val="174154880"/>
        <c:crosses val="autoZero"/>
        <c:auto val="1"/>
        <c:lblAlgn val="ctr"/>
        <c:lblOffset val="100"/>
      </c:catAx>
      <c:valAx>
        <c:axId val="174154880"/>
        <c:scaling>
          <c:orientation val="minMax"/>
          <c:max val="280"/>
          <c:min val="160"/>
        </c:scaling>
        <c:axPos val="r"/>
        <c:title>
          <c:tx>
            <c:rich>
              <a:bodyPr rot="5400000" vert="horz"/>
              <a:lstStyle/>
              <a:p>
                <a:pPr algn="ctr">
                  <a:defRPr sz="1200" b="0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млн. тонн</a:t>
                </a:r>
              </a:p>
            </c:rich>
          </c:tx>
          <c:layout>
            <c:manualLayout>
              <c:xMode val="edge"/>
              <c:yMode val="edge"/>
              <c:x val="0.95084745762711886"/>
              <c:y val="3.1948881789137379E-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808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723008"/>
        <c:crosses val="max"/>
        <c:crossBetween val="between"/>
        <c:majorUnit val="2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67796610169492"/>
          <c:y val="0.91693290734824262"/>
          <c:w val="0.50338983050847486"/>
          <c:h val="8.3067092651757241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542372881355923"/>
          <c:y val="5.5555555555555525E-2"/>
          <c:w val="0.77457627118644068"/>
          <c:h val="0.70370370370370372"/>
        </c:manualLayout>
      </c:layout>
      <c:barChart>
        <c:barDir val="col"/>
        <c:grouping val="clustered"/>
        <c:ser>
          <c:idx val="0"/>
          <c:order val="1"/>
          <c:tx>
            <c:strRef>
              <c:f>Sheet1!$A$3</c:f>
              <c:strCache>
                <c:ptCount val="1"/>
                <c:pt idx="0">
                  <c:v>в % к 2005 году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105.8</c:v>
                </c:pt>
                <c:pt idx="2">
                  <c:v>110.1</c:v>
                </c:pt>
                <c:pt idx="3">
                  <c:v>114</c:v>
                </c:pt>
                <c:pt idx="4">
                  <c:v>114.1</c:v>
                </c:pt>
                <c:pt idx="5">
                  <c:v>120.3</c:v>
                </c:pt>
                <c:pt idx="6">
                  <c:v>124</c:v>
                </c:pt>
                <c:pt idx="7">
                  <c:v>128.30000000000001</c:v>
                </c:pt>
                <c:pt idx="8">
                  <c:v>131.9</c:v>
                </c:pt>
              </c:numCache>
            </c:numRef>
          </c:val>
        </c:ser>
        <c:dLbls>
          <c:showVal val="1"/>
        </c:dLbls>
        <c:axId val="175394176"/>
        <c:axId val="175408640"/>
      </c:barChart>
      <c:lineChart>
        <c:grouping val="standard"/>
        <c:ser>
          <c:idx val="2"/>
          <c:order val="0"/>
          <c:tx>
            <c:strRef>
              <c:f>Sheet1!$A$2</c:f>
              <c:strCache>
                <c:ptCount val="1"/>
                <c:pt idx="0">
                  <c:v>млн. тонн</c:v>
                </c:pt>
              </c:strCache>
            </c:strRef>
          </c:tx>
          <c:spPr>
            <a:ln w="25399">
              <a:solidFill>
                <a:srgbClr val="80808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969696"/>
              </a:solidFill>
              <a:ln>
                <a:solidFill>
                  <a:srgbClr val="808080"/>
                </a:solidFill>
                <a:prstDash val="solid"/>
              </a:ln>
            </c:spPr>
          </c:marker>
          <c:dLbls>
            <c:numFmt formatCode="0.0" sourceLinked="0"/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206.8</c:v>
                </c:pt>
                <c:pt idx="1">
                  <c:v>218.8</c:v>
                </c:pt>
                <c:pt idx="2">
                  <c:v>227.7</c:v>
                </c:pt>
                <c:pt idx="3">
                  <c:v>235.7</c:v>
                </c:pt>
                <c:pt idx="4">
                  <c:v>235.9</c:v>
                </c:pt>
                <c:pt idx="5">
                  <c:v>248.8</c:v>
                </c:pt>
                <c:pt idx="6">
                  <c:v>256.5</c:v>
                </c:pt>
                <c:pt idx="7">
                  <c:v>265.39999999999986</c:v>
                </c:pt>
                <c:pt idx="8">
                  <c:v>272.7</c:v>
                </c:pt>
              </c:numCache>
            </c:numRef>
          </c:val>
        </c:ser>
        <c:dLbls>
          <c:showVal val="1"/>
        </c:dLbls>
        <c:marker val="1"/>
        <c:axId val="175410560"/>
        <c:axId val="175420544"/>
      </c:lineChart>
      <c:catAx>
        <c:axId val="175394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Годы</a:t>
                </a:r>
              </a:p>
            </c:rich>
          </c:tx>
          <c:layout>
            <c:manualLayout>
              <c:xMode val="edge"/>
              <c:yMode val="edge"/>
              <c:x val="0.85084745762711911"/>
              <c:y val="0.86296296296296249"/>
            </c:manualLayout>
          </c:layout>
          <c:spPr>
            <a:noFill/>
            <a:ln w="25399">
              <a:noFill/>
            </a:ln>
          </c:spPr>
        </c:title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08640"/>
        <c:crosses val="autoZero"/>
        <c:auto val="1"/>
        <c:lblAlgn val="ctr"/>
        <c:lblOffset val="100"/>
        <c:tickLblSkip val="1"/>
        <c:tickMarkSkip val="1"/>
      </c:catAx>
      <c:valAx>
        <c:axId val="175408640"/>
        <c:scaling>
          <c:orientation val="minMax"/>
          <c:max val="260"/>
          <c:min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в % к 2005 году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spPr>
            <a:noFill/>
            <a:ln w="25399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394176"/>
        <c:crosses val="autoZero"/>
        <c:crossBetween val="between"/>
        <c:majorUnit val="40"/>
      </c:valAx>
      <c:catAx>
        <c:axId val="175410560"/>
        <c:scaling>
          <c:orientation val="minMax"/>
        </c:scaling>
        <c:delete val="1"/>
        <c:axPos val="b"/>
        <c:numFmt formatCode="General" sourceLinked="1"/>
        <c:tickLblPos val="none"/>
        <c:crossAx val="175420544"/>
        <c:crosses val="autoZero"/>
        <c:auto val="1"/>
        <c:lblAlgn val="ctr"/>
        <c:lblOffset val="100"/>
      </c:catAx>
      <c:valAx>
        <c:axId val="175420544"/>
        <c:scaling>
          <c:orientation val="minMax"/>
          <c:max val="300"/>
          <c:min val="100"/>
        </c:scaling>
        <c:axPos val="r"/>
        <c:title>
          <c:tx>
            <c:rich>
              <a:bodyPr rot="5400000" vert="horz"/>
              <a:lstStyle/>
              <a:p>
                <a:pPr algn="ctr">
                  <a:defRPr sz="1200" b="0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млн. тонн</a:t>
                </a:r>
              </a:p>
            </c:rich>
          </c:tx>
          <c:layout>
            <c:manualLayout>
              <c:xMode val="edge"/>
              <c:yMode val="edge"/>
              <c:x val="0.95084745762711886"/>
              <c:y val="1.4814814814814815E-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808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10560"/>
        <c:crosses val="max"/>
        <c:crossBetween val="between"/>
        <c:majorUnit val="4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847457627118652"/>
          <c:y val="0.90370370370370368"/>
          <c:w val="0.50338983050847486"/>
          <c:h val="9.629629629629633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r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Отношение энергоемкости ВВП России 
к показателям по другим странам</a:t>
            </a:r>
          </a:p>
        </c:rich>
      </c:tx>
      <c:layout>
        <c:manualLayout>
          <c:xMode val="edge"/>
          <c:yMode val="edge"/>
          <c:x val="0.49322033898305095"/>
          <c:y val="0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10169491525423729"/>
          <c:y val="0.16460905349794241"/>
          <c:w val="0.9"/>
          <c:h val="0.45267489711934178"/>
        </c:manualLayout>
      </c:layout>
      <c:barChart>
        <c:barDir val="col"/>
        <c:grouping val="clustered"/>
        <c:ser>
          <c:idx val="2"/>
          <c:order val="0"/>
          <c:tx>
            <c:strRef>
              <c:f>Sheet1!$B$1</c:f>
              <c:strCache>
                <c:ptCount val="1"/>
                <c:pt idx="0">
                  <c:v>Отношение энергоемкост ВВП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Sheet1!$A$2:$A$10</c:f>
              <c:strCache>
                <c:ptCount val="9"/>
                <c:pt idx="0">
                  <c:v>Великобритания</c:v>
                </c:pt>
                <c:pt idx="1">
                  <c:v>Италия</c:v>
                </c:pt>
                <c:pt idx="2">
                  <c:v>Япония</c:v>
                </c:pt>
                <c:pt idx="3">
                  <c:v>Германия</c:v>
                </c:pt>
                <c:pt idx="4">
                  <c:v>Франция</c:v>
                </c:pt>
                <c:pt idx="5">
                  <c:v>Бразилия</c:v>
                </c:pt>
                <c:pt idx="6">
                  <c:v>США</c:v>
                </c:pt>
                <c:pt idx="7">
                  <c:v>Индия</c:v>
                </c:pt>
                <c:pt idx="8">
                  <c:v>Китай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3.6</c:v>
                </c:pt>
                <c:pt idx="1">
                  <c:v>3.3</c:v>
                </c:pt>
                <c:pt idx="2">
                  <c:v>3</c:v>
                </c:pt>
                <c:pt idx="3">
                  <c:v>2.9</c:v>
                </c:pt>
                <c:pt idx="4">
                  <c:v>2.5</c:v>
                </c:pt>
                <c:pt idx="5">
                  <c:v>2.4</c:v>
                </c:pt>
                <c:pt idx="6">
                  <c:v>2.1</c:v>
                </c:pt>
                <c:pt idx="7">
                  <c:v>1.7</c:v>
                </c:pt>
                <c:pt idx="8">
                  <c:v>1.3</c:v>
                </c:pt>
              </c:numCache>
            </c:numRef>
          </c:val>
        </c:ser>
        <c:dLbls>
          <c:showVal val="1"/>
        </c:dLbls>
        <c:axId val="174077056"/>
        <c:axId val="174078976"/>
      </c:barChart>
      <c:catAx>
        <c:axId val="174077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Страны</a:t>
                </a:r>
              </a:p>
            </c:rich>
          </c:tx>
          <c:layout>
            <c:manualLayout>
              <c:xMode val="edge"/>
              <c:yMode val="edge"/>
              <c:x val="0.90338983050847499"/>
              <c:y val="0.86419753086419782"/>
            </c:manualLayout>
          </c:layout>
          <c:spPr>
            <a:noFill/>
            <a:ln w="25399">
              <a:noFill/>
            </a:ln>
          </c:spPr>
        </c:title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78976"/>
        <c:crosses val="autoZero"/>
        <c:auto val="1"/>
        <c:lblAlgn val="ctr"/>
        <c:lblOffset val="100"/>
        <c:tickLblSkip val="1"/>
        <c:tickMarkSkip val="1"/>
      </c:catAx>
      <c:valAx>
        <c:axId val="1740789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Отношение, ед.</a:t>
                </a:r>
              </a:p>
            </c:rich>
          </c:tx>
          <c:layout>
            <c:manualLayout>
              <c:xMode val="edge"/>
              <c:yMode val="edge"/>
              <c:x val="0"/>
              <c:y val="3.7037037037037049E-2"/>
            </c:manualLayout>
          </c:layout>
          <c:spPr>
            <a:noFill/>
            <a:ln w="25399">
              <a:noFill/>
            </a:ln>
          </c:spPr>
        </c:title>
        <c:numFmt formatCode="0.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7705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9661016949152543"/>
          <c:y val="0.89300411522633749"/>
          <c:w val="0.50338983050847486"/>
          <c:h val="0.1069958847736626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В % к предыдущему году</a:t>
            </a:r>
          </a:p>
        </c:rich>
      </c:tx>
      <c:layout>
        <c:manualLayout>
          <c:xMode val="edge"/>
          <c:yMode val="edge"/>
          <c:x val="0.2202852614896989"/>
          <c:y val="4.624277456647397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410459587955625"/>
          <c:y val="4.3352601156069398E-2"/>
          <c:w val="0.88748019017432622"/>
          <c:h val="0.5838150289017338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Все основные фонды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111</c:v>
                </c:pt>
                <c:pt idx="2">
                  <c:v>116.1</c:v>
                </c:pt>
                <c:pt idx="3">
                  <c:v>122.1</c:v>
                </c:pt>
                <c:pt idx="4">
                  <c:v>114</c:v>
                </c:pt>
                <c:pt idx="5">
                  <c:v>96.6</c:v>
                </c:pt>
                <c:pt idx="6">
                  <c:v>93.4</c:v>
                </c:pt>
                <c:pt idx="7">
                  <c:v>129</c:v>
                </c:pt>
                <c:pt idx="8">
                  <c:v>108.7</c:v>
                </c:pt>
                <c:pt idx="9">
                  <c:v>102.1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в т.ч.: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ln w="12700">
              <a:solidFill>
                <a:srgbClr val="808080"/>
              </a:solidFill>
              <a:prstDash val="solid"/>
            </a:ln>
          </c:spPr>
          <c:marker>
            <c:symbol val="square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0</c:v>
                </c:pt>
                <c:pt idx="1">
                  <c:v>110</c:v>
                </c:pt>
                <c:pt idx="2">
                  <c:v>132.69999999999999</c:v>
                </c:pt>
                <c:pt idx="3">
                  <c:v>139.1</c:v>
                </c:pt>
                <c:pt idx="4">
                  <c:v>106.9</c:v>
                </c:pt>
                <c:pt idx="5">
                  <c:v>85.6</c:v>
                </c:pt>
                <c:pt idx="6">
                  <c:v>92.2</c:v>
                </c:pt>
                <c:pt idx="7">
                  <c:v>118.6</c:v>
                </c:pt>
                <c:pt idx="8">
                  <c:v>100.1</c:v>
                </c:pt>
                <c:pt idx="9">
                  <c:v>98.8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Sheet1!$B$5:$K$5</c:f>
              <c:numCache>
                <c:formatCode>General</c:formatCode>
                <c:ptCount val="10"/>
                <c:pt idx="0">
                  <c:v>0</c:v>
                </c:pt>
                <c:pt idx="1">
                  <c:v>99.8</c:v>
                </c:pt>
                <c:pt idx="2">
                  <c:v>119.2</c:v>
                </c:pt>
                <c:pt idx="3">
                  <c:v>120.6</c:v>
                </c:pt>
                <c:pt idx="4">
                  <c:v>111.4</c:v>
                </c:pt>
                <c:pt idx="5">
                  <c:v>109.8</c:v>
                </c:pt>
                <c:pt idx="6">
                  <c:v>71.599999999999994</c:v>
                </c:pt>
                <c:pt idx="7">
                  <c:v>127.1</c:v>
                </c:pt>
                <c:pt idx="8">
                  <c:v>113.6</c:v>
                </c:pt>
                <c:pt idx="9">
                  <c:v>102.4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Sheet1!$B$6:$K$6</c:f>
              <c:numCache>
                <c:formatCode>General</c:formatCode>
                <c:ptCount val="10"/>
                <c:pt idx="0">
                  <c:v>0</c:v>
                </c:pt>
                <c:pt idx="1">
                  <c:v>111.2</c:v>
                </c:pt>
                <c:pt idx="2">
                  <c:v>112.9</c:v>
                </c:pt>
                <c:pt idx="3">
                  <c:v>116</c:v>
                </c:pt>
                <c:pt idx="4">
                  <c:v>114.1</c:v>
                </c:pt>
                <c:pt idx="5">
                  <c:v>94.2</c:v>
                </c:pt>
                <c:pt idx="6">
                  <c:v>99.8</c:v>
                </c:pt>
                <c:pt idx="7">
                  <c:v>115.7</c:v>
                </c:pt>
                <c:pt idx="8">
                  <c:v>107.4</c:v>
                </c:pt>
                <c:pt idx="9">
                  <c:v>106.2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генерирующие производства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Sheet1!$B$7:$K$7</c:f>
              <c:numCache>
                <c:formatCode>General</c:formatCode>
                <c:ptCount val="10"/>
                <c:pt idx="0">
                  <c:v>0</c:v>
                </c:pt>
                <c:pt idx="1">
                  <c:v>113.6</c:v>
                </c:pt>
                <c:pt idx="2">
                  <c:v>110.4</c:v>
                </c:pt>
                <c:pt idx="3">
                  <c:v>131.5</c:v>
                </c:pt>
                <c:pt idx="4">
                  <c:v>118.7</c:v>
                </c:pt>
                <c:pt idx="5">
                  <c:v>109.1</c:v>
                </c:pt>
                <c:pt idx="6">
                  <c:v>116.3</c:v>
                </c:pt>
                <c:pt idx="7">
                  <c:v>140</c:v>
                </c:pt>
                <c:pt idx="8">
                  <c:v>114.6</c:v>
                </c:pt>
                <c:pt idx="9">
                  <c:v>102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ln w="12700">
              <a:solidFill>
                <a:srgbClr val="808080"/>
              </a:solidFill>
              <a:prstDash val="solid"/>
            </a:ln>
          </c:spPr>
          <c:marker>
            <c:symbol val="diamond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Sheet1!$B$8:$K$8</c:f>
              <c:numCache>
                <c:formatCode>General</c:formatCode>
                <c:ptCount val="10"/>
                <c:pt idx="0">
                  <c:v>0</c:v>
                </c:pt>
                <c:pt idx="1">
                  <c:v>115.2</c:v>
                </c:pt>
                <c:pt idx="2">
                  <c:v>115.2</c:v>
                </c:pt>
                <c:pt idx="3">
                  <c:v>129.4</c:v>
                </c:pt>
                <c:pt idx="4">
                  <c:v>128.6</c:v>
                </c:pt>
                <c:pt idx="5">
                  <c:v>66.099999999999994</c:v>
                </c:pt>
                <c:pt idx="6">
                  <c:v>95.9</c:v>
                </c:pt>
                <c:pt idx="7">
                  <c:v>165.6</c:v>
                </c:pt>
                <c:pt idx="8">
                  <c:v>92.6</c:v>
                </c:pt>
                <c:pt idx="9">
                  <c:v>96</c:v>
                </c:pt>
              </c:numCache>
            </c:numRef>
          </c:val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транспорт и связь</c:v>
                </c:pt>
              </c:strCache>
            </c:strRef>
          </c:tx>
          <c:spPr>
            <a:ln w="12700">
              <a:solidFill>
                <a:srgbClr val="808080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Sheet1!$B$9:$K$9</c:f>
              <c:numCache>
                <c:formatCode>General</c:formatCode>
                <c:ptCount val="10"/>
                <c:pt idx="0">
                  <c:v>0</c:v>
                </c:pt>
                <c:pt idx="1">
                  <c:v>118.4</c:v>
                </c:pt>
                <c:pt idx="2">
                  <c:v>116.8</c:v>
                </c:pt>
                <c:pt idx="3">
                  <c:v>115.5</c:v>
                </c:pt>
                <c:pt idx="4">
                  <c:v>116.3</c:v>
                </c:pt>
                <c:pt idx="5">
                  <c:v>107.8</c:v>
                </c:pt>
                <c:pt idx="6">
                  <c:v>77.900000000000006</c:v>
                </c:pt>
                <c:pt idx="7">
                  <c:v>163.69999999999999</c:v>
                </c:pt>
                <c:pt idx="8">
                  <c:v>115.9</c:v>
                </c:pt>
                <c:pt idx="9">
                  <c:v>100.2</c:v>
                </c:pt>
              </c:numCache>
            </c:numRef>
          </c:val>
        </c:ser>
        <c:marker val="1"/>
        <c:axId val="175698304"/>
        <c:axId val="175700608"/>
      </c:lineChart>
      <c:catAx>
        <c:axId val="175698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Годы</a:t>
                </a:r>
              </a:p>
            </c:rich>
          </c:tx>
          <c:layout>
            <c:manualLayout>
              <c:xMode val="edge"/>
              <c:yMode val="edge"/>
              <c:x val="0.91917591125198095"/>
              <c:y val="0.70231213872832332"/>
            </c:manualLayout>
          </c:layout>
          <c:spPr>
            <a:noFill/>
            <a:ln w="25400">
              <a:noFill/>
            </a:ln>
          </c:spPr>
        </c:title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700608"/>
        <c:crosses val="autoZero"/>
        <c:auto val="1"/>
        <c:lblAlgn val="ctr"/>
        <c:lblOffset val="100"/>
        <c:tickLblSkip val="1"/>
        <c:tickMarkSkip val="1"/>
      </c:catAx>
      <c:valAx>
        <c:axId val="175700608"/>
        <c:scaling>
          <c:orientation val="minMax"/>
          <c:min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Темп роста, %</a:t>
                </a:r>
              </a:p>
            </c:rich>
          </c:tx>
          <c:layout>
            <c:manualLayout>
              <c:xMode val="edge"/>
              <c:yMode val="edge"/>
              <c:x val="0"/>
              <c:y val="1.1560693641618505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9830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738510301109356"/>
          <c:y val="0.78323699421965298"/>
          <c:w val="0.83042789223454871"/>
          <c:h val="0.2196531791907514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В % к 2005 году</a:t>
            </a:r>
          </a:p>
        </c:rich>
      </c:tx>
      <c:layout>
        <c:manualLayout>
          <c:xMode val="edge"/>
          <c:yMode val="edge"/>
          <c:x val="0.20411392405063292"/>
          <c:y val="5.3639846743295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1186708860759494"/>
          <c:y val="5.7471264367816105E-2"/>
          <c:w val="0.88291139240506344"/>
          <c:h val="0.72413793103448298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Все основные фонды</c:v>
                </c:pt>
              </c:strCache>
            </c:strRef>
          </c:tx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100</c:v>
                </c:pt>
                <c:pt idx="1">
                  <c:v>110.2</c:v>
                </c:pt>
                <c:pt idx="2">
                  <c:v>129.80000000000001</c:v>
                </c:pt>
                <c:pt idx="3">
                  <c:v>160.69999999999999</c:v>
                </c:pt>
                <c:pt idx="4">
                  <c:v>176</c:v>
                </c:pt>
                <c:pt idx="5">
                  <c:v>152.19999999999999</c:v>
                </c:pt>
                <c:pt idx="6">
                  <c:v>161.80000000000001</c:v>
                </c:pt>
                <c:pt idx="7">
                  <c:v>179.3</c:v>
                </c:pt>
                <c:pt idx="8">
                  <c:v>191.5</c:v>
                </c:pt>
                <c:pt idx="9">
                  <c:v>191.1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в т.ч.: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ln w="12699">
              <a:solidFill>
                <a:srgbClr val="808080"/>
              </a:solidFill>
              <a:prstDash val="solid"/>
            </a:ln>
          </c:spPr>
          <c:marker>
            <c:symbol val="square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100</c:v>
                </c:pt>
                <c:pt idx="1">
                  <c:v>109.5</c:v>
                </c:pt>
                <c:pt idx="2">
                  <c:v>156.6</c:v>
                </c:pt>
                <c:pt idx="3">
                  <c:v>207</c:v>
                </c:pt>
                <c:pt idx="4">
                  <c:v>204.5</c:v>
                </c:pt>
                <c:pt idx="5">
                  <c:v>159.69999999999999</c:v>
                </c:pt>
                <c:pt idx="6">
                  <c:v>142.30000000000001</c:v>
                </c:pt>
                <c:pt idx="7">
                  <c:v>191.8</c:v>
                </c:pt>
                <c:pt idx="8">
                  <c:v>193.8</c:v>
                </c:pt>
                <c:pt idx="9">
                  <c:v>189.9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Sheet1!$B$5:$K$5</c:f>
              <c:numCache>
                <c:formatCode>General</c:formatCode>
                <c:ptCount val="10"/>
                <c:pt idx="0">
                  <c:v>100</c:v>
                </c:pt>
                <c:pt idx="1">
                  <c:v>99.7</c:v>
                </c:pt>
                <c:pt idx="2">
                  <c:v>120.6</c:v>
                </c:pt>
                <c:pt idx="3">
                  <c:v>140.1</c:v>
                </c:pt>
                <c:pt idx="4">
                  <c:v>149.19999999999999</c:v>
                </c:pt>
                <c:pt idx="5">
                  <c:v>134.1</c:v>
                </c:pt>
                <c:pt idx="6">
                  <c:v>142.9</c:v>
                </c:pt>
                <c:pt idx="7">
                  <c:v>158.5</c:v>
                </c:pt>
                <c:pt idx="8">
                  <c:v>179.9</c:v>
                </c:pt>
                <c:pt idx="9">
                  <c:v>177.4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Sheet1!$B$6:$K$6</c:f>
              <c:numCache>
                <c:formatCode>General</c:formatCode>
                <c:ptCount val="10"/>
                <c:pt idx="0">
                  <c:v>100</c:v>
                </c:pt>
                <c:pt idx="1">
                  <c:v>112.4</c:v>
                </c:pt>
                <c:pt idx="2">
                  <c:v>126</c:v>
                </c:pt>
                <c:pt idx="3">
                  <c:v>146.9</c:v>
                </c:pt>
                <c:pt idx="4">
                  <c:v>165.3</c:v>
                </c:pt>
                <c:pt idx="5">
                  <c:v>136.9</c:v>
                </c:pt>
                <c:pt idx="6">
                  <c:v>138.9</c:v>
                </c:pt>
                <c:pt idx="7">
                  <c:v>149.9</c:v>
                </c:pt>
                <c:pt idx="8">
                  <c:v>168.5</c:v>
                </c:pt>
                <c:pt idx="9">
                  <c:v>176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Sheet1!$B$7:$K$7</c:f>
              <c:numCache>
                <c:formatCode>General</c:formatCode>
                <c:ptCount val="10"/>
                <c:pt idx="0">
                  <c:v>100</c:v>
                </c:pt>
                <c:pt idx="1">
                  <c:v>108.6</c:v>
                </c:pt>
                <c:pt idx="2">
                  <c:v>118</c:v>
                </c:pt>
                <c:pt idx="3">
                  <c:v>156.80000000000001</c:v>
                </c:pt>
                <c:pt idx="4">
                  <c:v>175</c:v>
                </c:pt>
                <c:pt idx="5">
                  <c:v>190.5</c:v>
                </c:pt>
                <c:pt idx="6">
                  <c:v>214.3</c:v>
                </c:pt>
                <c:pt idx="7">
                  <c:v>246.1</c:v>
                </c:pt>
                <c:pt idx="8">
                  <c:v>265.5</c:v>
                </c:pt>
                <c:pt idx="9">
                  <c:v>262.3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ln w="12699">
              <a:solidFill>
                <a:srgbClr val="808080"/>
              </a:solidFill>
              <a:prstDash val="solid"/>
            </a:ln>
          </c:spPr>
          <c:marker>
            <c:symbol val="diamond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Sheet1!$B$8:$K$8</c:f>
              <c:numCache>
                <c:formatCode>General</c:formatCode>
                <c:ptCount val="10"/>
                <c:pt idx="0">
                  <c:v>100</c:v>
                </c:pt>
                <c:pt idx="1">
                  <c:v>113.3</c:v>
                </c:pt>
                <c:pt idx="2">
                  <c:v>135.69999999999999</c:v>
                </c:pt>
                <c:pt idx="3">
                  <c:v>174.8</c:v>
                </c:pt>
                <c:pt idx="4">
                  <c:v>220.6</c:v>
                </c:pt>
                <c:pt idx="5">
                  <c:v>154.19999999999999</c:v>
                </c:pt>
                <c:pt idx="6">
                  <c:v>171</c:v>
                </c:pt>
                <c:pt idx="7">
                  <c:v>155</c:v>
                </c:pt>
                <c:pt idx="8">
                  <c:v>150.80000000000001</c:v>
                </c:pt>
                <c:pt idx="9">
                  <c:v>147.80000000000001</c:v>
                </c:pt>
              </c:numCache>
            </c:numRef>
          </c:val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транспорт и связь</c:v>
                </c:pt>
              </c:strCache>
            </c:strRef>
          </c:tx>
          <c:spPr>
            <a:ln w="12699">
              <a:solidFill>
                <a:srgbClr val="808080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808080"/>
                </a:solidFill>
                <a:prstDash val="solid"/>
              </a:ln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Sheet1!$B$9:$K$9</c:f>
              <c:numCache>
                <c:formatCode>General</c:formatCode>
                <c:ptCount val="10"/>
                <c:pt idx="0">
                  <c:v>100</c:v>
                </c:pt>
                <c:pt idx="1">
                  <c:v>120</c:v>
                </c:pt>
                <c:pt idx="2">
                  <c:v>136.6</c:v>
                </c:pt>
                <c:pt idx="3">
                  <c:v>160</c:v>
                </c:pt>
                <c:pt idx="4">
                  <c:v>185.8</c:v>
                </c:pt>
                <c:pt idx="5">
                  <c:v>192.3</c:v>
                </c:pt>
                <c:pt idx="6">
                  <c:v>196.9</c:v>
                </c:pt>
                <c:pt idx="7">
                  <c:v>242.2</c:v>
                </c:pt>
                <c:pt idx="8">
                  <c:v>243.7</c:v>
                </c:pt>
                <c:pt idx="9">
                  <c:v>238.6</c:v>
                </c:pt>
              </c:numCache>
            </c:numRef>
          </c:val>
        </c:ser>
        <c:marker val="1"/>
        <c:axId val="175833088"/>
        <c:axId val="175835392"/>
      </c:lineChart>
      <c:catAx>
        <c:axId val="175833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Годы</a:t>
                </a:r>
              </a:p>
            </c:rich>
          </c:tx>
          <c:layout>
            <c:manualLayout>
              <c:xMode val="edge"/>
              <c:yMode val="edge"/>
              <c:x val="0.93196202531645556"/>
              <c:y val="0.88888888888888895"/>
            </c:manualLayout>
          </c:layout>
          <c:spPr>
            <a:noFill/>
            <a:ln w="25399">
              <a:noFill/>
            </a:ln>
          </c:spPr>
        </c:title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835392"/>
        <c:crosses val="autoZero"/>
        <c:auto val="1"/>
        <c:lblAlgn val="ctr"/>
        <c:lblOffset val="100"/>
        <c:tickLblSkip val="1"/>
        <c:tickMarkSkip val="1"/>
      </c:catAx>
      <c:valAx>
        <c:axId val="175835392"/>
        <c:scaling>
          <c:orientation val="minMax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Темп роста, %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833088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0.19275</cdr:y>
    </cdr:to>
    <cdr:sp macro="" textlink="">
      <cdr:nvSpPr>
        <cdr:cNvPr id="1025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619750" cy="57097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91440" tIns="45720" rIns="91440" bIns="4572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Изменение структуры импорта, млрд. долл. США и в % к итогу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C52A-92DF-4B6E-9240-435F4CCC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44484</CharactersWithSpaces>
  <SharedDoc>false</SharedDoc>
  <HLinks>
    <vt:vector size="12" baseType="variant">
      <vt:variant>
        <vt:i4>8126523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http://elibrary.ru/contents.asp?issueid=1113300&amp;selid=18915404</vt:lpwstr>
      </vt:variant>
      <vt:variant>
        <vt:lpwstr/>
      </vt:variant>
      <vt:variant>
        <vt:i4>6422653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http://elibrary.ru/contents.asp?issueid=1113300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User</cp:lastModifiedBy>
  <cp:revision>2</cp:revision>
  <dcterms:created xsi:type="dcterms:W3CDTF">2015-03-17T07:21:00Z</dcterms:created>
  <dcterms:modified xsi:type="dcterms:W3CDTF">2015-03-17T07:21:00Z</dcterms:modified>
</cp:coreProperties>
</file>